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35EA7" w14:textId="72A08E87" w:rsidR="00553D3F" w:rsidRPr="00833F9F" w:rsidRDefault="00553D3F" w:rsidP="00833F9F">
      <w:pPr>
        <w:spacing w:after="0"/>
        <w:jc w:val="center"/>
        <w:rPr>
          <w:rFonts w:asciiTheme="majorHAnsi" w:hAnsiTheme="majorHAnsi" w:cstheme="majorHAnsi"/>
          <w:sz w:val="28"/>
          <w:szCs w:val="28"/>
        </w:rPr>
      </w:pPr>
      <w:r w:rsidRPr="00833F9F">
        <w:rPr>
          <w:rFonts w:asciiTheme="majorHAnsi" w:hAnsiTheme="majorHAnsi" w:cstheme="majorHAnsi"/>
          <w:sz w:val="28"/>
          <w:szCs w:val="28"/>
        </w:rPr>
        <w:t>Addressing the Drug Poisoning Crisis in Grey-Bruce and Ontario:</w:t>
      </w:r>
    </w:p>
    <w:p w14:paraId="11FD1BA0" w14:textId="0D2481A0" w:rsidR="00553D3F" w:rsidRPr="00833F9F" w:rsidRDefault="00DE2352" w:rsidP="00833F9F">
      <w:pPr>
        <w:spacing w:after="0"/>
        <w:jc w:val="center"/>
        <w:rPr>
          <w:rFonts w:asciiTheme="majorHAnsi" w:hAnsiTheme="majorHAnsi" w:cstheme="majorHAnsi"/>
          <w:sz w:val="28"/>
          <w:szCs w:val="28"/>
        </w:rPr>
      </w:pPr>
      <w:r w:rsidRPr="00833F9F">
        <w:rPr>
          <w:rFonts w:asciiTheme="majorHAnsi" w:hAnsiTheme="majorHAnsi" w:cstheme="majorHAnsi"/>
          <w:sz w:val="28"/>
          <w:szCs w:val="28"/>
        </w:rPr>
        <w:t xml:space="preserve">Backgrounder for the </w:t>
      </w:r>
      <w:r w:rsidR="009E460B">
        <w:rPr>
          <w:rFonts w:asciiTheme="majorHAnsi" w:hAnsiTheme="majorHAnsi" w:cstheme="majorHAnsi"/>
          <w:sz w:val="28"/>
          <w:szCs w:val="28"/>
        </w:rPr>
        <w:t xml:space="preserve">Grey </w:t>
      </w:r>
      <w:r w:rsidR="00553D3F" w:rsidRPr="00833F9F">
        <w:rPr>
          <w:rFonts w:asciiTheme="majorHAnsi" w:hAnsiTheme="majorHAnsi" w:cstheme="majorHAnsi"/>
          <w:sz w:val="28"/>
          <w:szCs w:val="28"/>
        </w:rPr>
        <w:t>County Council</w:t>
      </w:r>
    </w:p>
    <w:p w14:paraId="5C329946" w14:textId="77777777" w:rsidR="00833F9F" w:rsidRDefault="00833F9F" w:rsidP="00C34E25">
      <w:pPr>
        <w:spacing w:after="0"/>
        <w:rPr>
          <w:rFonts w:asciiTheme="majorHAnsi" w:hAnsiTheme="majorHAnsi" w:cstheme="majorHAnsi"/>
          <w:sz w:val="24"/>
          <w:szCs w:val="24"/>
        </w:rPr>
      </w:pPr>
    </w:p>
    <w:p w14:paraId="46495892" w14:textId="1488B91F" w:rsidR="00BF5402" w:rsidRPr="00833F9F" w:rsidRDefault="00553D3F" w:rsidP="00C34E25">
      <w:pPr>
        <w:spacing w:after="0"/>
        <w:rPr>
          <w:rFonts w:asciiTheme="majorHAnsi" w:hAnsiTheme="majorHAnsi" w:cstheme="majorHAnsi"/>
          <w:sz w:val="24"/>
          <w:szCs w:val="24"/>
        </w:rPr>
      </w:pPr>
      <w:r w:rsidRPr="00833F9F">
        <w:rPr>
          <w:rFonts w:asciiTheme="majorHAnsi" w:hAnsiTheme="majorHAnsi" w:cstheme="majorHAnsi"/>
          <w:sz w:val="24"/>
          <w:szCs w:val="24"/>
        </w:rPr>
        <w:t>Prepared by the Commun</w:t>
      </w:r>
      <w:r w:rsidR="00BF5402" w:rsidRPr="00833F9F">
        <w:rPr>
          <w:rFonts w:asciiTheme="majorHAnsi" w:hAnsiTheme="majorHAnsi" w:cstheme="majorHAnsi"/>
          <w:sz w:val="24"/>
          <w:szCs w:val="24"/>
        </w:rPr>
        <w:t xml:space="preserve">ity Drug &amp; Alcohol Strategy and the </w:t>
      </w:r>
      <w:r w:rsidRPr="00833F9F">
        <w:rPr>
          <w:rFonts w:asciiTheme="majorHAnsi" w:hAnsiTheme="majorHAnsi" w:cstheme="majorHAnsi"/>
          <w:sz w:val="24"/>
          <w:szCs w:val="24"/>
        </w:rPr>
        <w:t>Grey Bruce Health Unit</w:t>
      </w:r>
    </w:p>
    <w:p w14:paraId="4404438F" w14:textId="200FDA64" w:rsidR="00833F9F" w:rsidRPr="00833F9F" w:rsidRDefault="00833F9F" w:rsidP="00833F9F">
      <w:pPr>
        <w:spacing w:after="120"/>
        <w:rPr>
          <w:rFonts w:asciiTheme="majorHAnsi" w:hAnsiTheme="majorHAnsi" w:cstheme="majorHAnsi"/>
          <w:sz w:val="24"/>
          <w:szCs w:val="24"/>
        </w:rPr>
      </w:pPr>
      <w:r>
        <w:rPr>
          <w:rFonts w:asciiTheme="majorHAnsi" w:hAnsiTheme="majorHAnsi" w:cstheme="majorHAnsi"/>
          <w:sz w:val="24"/>
          <w:szCs w:val="24"/>
        </w:rPr>
        <w:t>June 30</w:t>
      </w:r>
      <w:r w:rsidR="00553D3F" w:rsidRPr="00833F9F">
        <w:rPr>
          <w:rFonts w:asciiTheme="majorHAnsi" w:hAnsiTheme="majorHAnsi" w:cstheme="majorHAnsi"/>
          <w:sz w:val="24"/>
          <w:szCs w:val="24"/>
        </w:rPr>
        <w:t>, 2021</w:t>
      </w:r>
    </w:p>
    <w:p w14:paraId="7E7EF9DD" w14:textId="08126047" w:rsidR="003A19D6" w:rsidRDefault="003A19D6" w:rsidP="003A19D6">
      <w:pPr>
        <w:pStyle w:val="Heading2"/>
      </w:pPr>
      <w:r>
        <w:t>Calls to Action</w:t>
      </w:r>
    </w:p>
    <w:p w14:paraId="35F35793" w14:textId="644A7308" w:rsidR="00496EE1" w:rsidRDefault="00500BEE">
      <w:r>
        <w:t xml:space="preserve">Addressing the </w:t>
      </w:r>
      <w:r w:rsidR="00DE2352">
        <w:t>drug poisoning c</w:t>
      </w:r>
      <w:r>
        <w:t xml:space="preserve">risis requires </w:t>
      </w:r>
      <w:r w:rsidR="00496EE1">
        <w:t xml:space="preserve">action from all levels of government. </w:t>
      </w:r>
    </w:p>
    <w:p w14:paraId="6932B64C" w14:textId="77777777" w:rsidR="00942BFA" w:rsidRDefault="00942BFA" w:rsidP="00942BFA">
      <w:pPr>
        <w:spacing w:after="0"/>
        <w:rPr>
          <w:lang w:val="en-US"/>
        </w:rPr>
      </w:pPr>
      <w:r w:rsidRPr="00356E43">
        <w:rPr>
          <w:lang w:val="en-US"/>
        </w:rPr>
        <w:t>Local leaders</w:t>
      </w:r>
      <w:r>
        <w:rPr>
          <w:lang w:val="en-US"/>
        </w:rPr>
        <w:t xml:space="preserve"> can support </w:t>
      </w:r>
      <w:r w:rsidRPr="00356E43">
        <w:rPr>
          <w:b/>
          <w:lang w:val="en-US"/>
        </w:rPr>
        <w:t>on-the-ground efforts</w:t>
      </w:r>
      <w:r>
        <w:rPr>
          <w:lang w:val="en-US"/>
        </w:rPr>
        <w:t xml:space="preserve"> by: </w:t>
      </w:r>
    </w:p>
    <w:p w14:paraId="59887273" w14:textId="77777777" w:rsidR="00942BFA" w:rsidRDefault="00942BFA" w:rsidP="00942BFA">
      <w:pPr>
        <w:pStyle w:val="ListParagraph"/>
        <w:numPr>
          <w:ilvl w:val="0"/>
          <w:numId w:val="6"/>
        </w:numPr>
        <w:spacing w:after="0"/>
      </w:pPr>
      <w:r>
        <w:t xml:space="preserve">Working with community partners to </w:t>
      </w:r>
      <w:r w:rsidRPr="00C84B1A">
        <w:t>expand and enhance harm reduction outreach services.</w:t>
      </w:r>
    </w:p>
    <w:p w14:paraId="1547481F" w14:textId="65F0E729" w:rsidR="00942BFA" w:rsidRDefault="00942BFA" w:rsidP="00337C3A">
      <w:pPr>
        <w:pStyle w:val="ListParagraph"/>
        <w:numPr>
          <w:ilvl w:val="0"/>
          <w:numId w:val="6"/>
        </w:numPr>
        <w:spacing w:after="0"/>
      </w:pPr>
      <w:r>
        <w:t>Assessing the need for internal harm reduction education and identifying opportunities to incorporate harm reduction into current policies and practices.</w:t>
      </w:r>
    </w:p>
    <w:p w14:paraId="65E0F892" w14:textId="77777777" w:rsidR="00942BFA" w:rsidRPr="00942BFA" w:rsidRDefault="00942BFA" w:rsidP="00942BFA">
      <w:pPr>
        <w:pStyle w:val="ListParagraph"/>
        <w:spacing w:after="0"/>
      </w:pPr>
    </w:p>
    <w:p w14:paraId="370FA37E" w14:textId="77777777" w:rsidR="00942BFA" w:rsidRDefault="00942BFA" w:rsidP="00942BFA">
      <w:pPr>
        <w:spacing w:after="0"/>
        <w:rPr>
          <w:lang w:val="en-US"/>
        </w:rPr>
      </w:pPr>
      <w:r w:rsidRPr="00DE2352">
        <w:rPr>
          <w:bCs/>
          <w:lang w:val="en-US"/>
        </w:rPr>
        <w:t xml:space="preserve">Local leaders can act by advocating to </w:t>
      </w:r>
      <w:r>
        <w:rPr>
          <w:b/>
          <w:bCs/>
          <w:lang w:val="en-US"/>
        </w:rPr>
        <w:t>Provincial</w:t>
      </w:r>
      <w:r w:rsidRPr="00DE2352">
        <w:rPr>
          <w:b/>
          <w:bCs/>
          <w:lang w:val="en-US"/>
        </w:rPr>
        <w:t xml:space="preserve"> Leadership</w:t>
      </w:r>
      <w:r w:rsidRPr="00DE2352">
        <w:rPr>
          <w:bCs/>
          <w:lang w:val="en-US"/>
        </w:rPr>
        <w:t xml:space="preserve"> for the following:</w:t>
      </w:r>
    </w:p>
    <w:p w14:paraId="6DFFF349" w14:textId="77777777" w:rsidR="00942BFA" w:rsidRDefault="00942BFA" w:rsidP="00942BFA">
      <w:pPr>
        <w:pStyle w:val="ListParagraph"/>
        <w:numPr>
          <w:ilvl w:val="0"/>
          <w:numId w:val="6"/>
        </w:numPr>
        <w:spacing w:after="0"/>
      </w:pPr>
      <w:r>
        <w:rPr>
          <w:lang w:val="en-US"/>
        </w:rPr>
        <w:t xml:space="preserve">That the Ministry of Health </w:t>
      </w:r>
      <w:r w:rsidRPr="00576ADA">
        <w:rPr>
          <w:lang w:val="en-US"/>
        </w:rPr>
        <w:t xml:space="preserve">appoint a dedicated coordinator focused solely on the provincial response to the </w:t>
      </w:r>
      <w:proofErr w:type="gramStart"/>
      <w:r w:rsidRPr="00576ADA">
        <w:rPr>
          <w:lang w:val="en-US"/>
        </w:rPr>
        <w:t>emergency, and</w:t>
      </w:r>
      <w:proofErr w:type="gramEnd"/>
      <w:r w:rsidRPr="00576ADA">
        <w:rPr>
          <w:lang w:val="en-US"/>
        </w:rPr>
        <w:t xml:space="preserve"> tasked with building partnerships between various sectors and act as a liaison between the government and the sectors.</w:t>
      </w:r>
    </w:p>
    <w:p w14:paraId="41F8776E" w14:textId="49AA9F39" w:rsidR="00942BFA" w:rsidRPr="00942BFA" w:rsidRDefault="00942BFA" w:rsidP="00942BFA">
      <w:pPr>
        <w:pStyle w:val="ListParagraph"/>
        <w:numPr>
          <w:ilvl w:val="0"/>
          <w:numId w:val="6"/>
        </w:numPr>
      </w:pPr>
      <w:r>
        <w:rPr>
          <w:lang w:val="en-US"/>
        </w:rPr>
        <w:t>That the Provincial Minister of H</w:t>
      </w:r>
      <w:r w:rsidRPr="00675309">
        <w:rPr>
          <w:lang w:val="en-US"/>
        </w:rPr>
        <w:t xml:space="preserve">ealth and </w:t>
      </w:r>
      <w:r>
        <w:rPr>
          <w:lang w:val="en-US"/>
        </w:rPr>
        <w:t xml:space="preserve">relevant regulatory </w:t>
      </w:r>
      <w:proofErr w:type="gramStart"/>
      <w:r>
        <w:rPr>
          <w:lang w:val="en-US"/>
        </w:rPr>
        <w:t>Colleges</w:t>
      </w:r>
      <w:proofErr w:type="gramEnd"/>
      <w:r>
        <w:rPr>
          <w:lang w:val="en-US"/>
        </w:rPr>
        <w:t xml:space="preserve"> </w:t>
      </w:r>
      <w:r w:rsidRPr="00675309">
        <w:rPr>
          <w:lang w:val="en-US"/>
        </w:rPr>
        <w:t>sup</w:t>
      </w:r>
      <w:r>
        <w:rPr>
          <w:lang w:val="en-US"/>
        </w:rPr>
        <w:t>port and fund the provision of safe s</w:t>
      </w:r>
      <w:r w:rsidRPr="00675309">
        <w:rPr>
          <w:lang w:val="en-US"/>
        </w:rPr>
        <w:t>upply initiatives and sup</w:t>
      </w:r>
      <w:r>
        <w:rPr>
          <w:lang w:val="en-US"/>
        </w:rPr>
        <w:t>port the implementation of safe</w:t>
      </w:r>
      <w:r w:rsidRPr="00675309">
        <w:rPr>
          <w:lang w:val="en-US"/>
        </w:rPr>
        <w:t xml:space="preserve"> supply initiatives by adding the required formulations to the Ontario Drug Benefit Formulary to enable inject</w:t>
      </w:r>
      <w:r>
        <w:rPr>
          <w:lang w:val="en-US"/>
        </w:rPr>
        <w:t>able safe</w:t>
      </w:r>
      <w:r w:rsidRPr="00675309">
        <w:rPr>
          <w:lang w:val="en-US"/>
        </w:rPr>
        <w:t xml:space="preserve"> supply initiatives to operate.</w:t>
      </w:r>
    </w:p>
    <w:p w14:paraId="19A11EC0" w14:textId="4052C265" w:rsidR="00576ADA" w:rsidRPr="00DE2352" w:rsidRDefault="00DE2352" w:rsidP="00337C3A">
      <w:pPr>
        <w:spacing w:after="0"/>
        <w:rPr>
          <w:lang w:val="en-US"/>
        </w:rPr>
      </w:pPr>
      <w:r w:rsidRPr="00DE2352">
        <w:rPr>
          <w:bCs/>
          <w:lang w:val="en-US"/>
        </w:rPr>
        <w:t xml:space="preserve">Local leaders can act by advocating to </w:t>
      </w:r>
      <w:r w:rsidR="00576ADA" w:rsidRPr="00DE2352">
        <w:rPr>
          <w:b/>
          <w:bCs/>
          <w:lang w:val="en-US"/>
        </w:rPr>
        <w:t>Federal L</w:t>
      </w:r>
      <w:r w:rsidRPr="00DE2352">
        <w:rPr>
          <w:b/>
          <w:bCs/>
          <w:lang w:val="en-US"/>
        </w:rPr>
        <w:t>eadership</w:t>
      </w:r>
      <w:r w:rsidRPr="00DE2352">
        <w:rPr>
          <w:bCs/>
          <w:lang w:val="en-US"/>
        </w:rPr>
        <w:t xml:space="preserve"> for the following:</w:t>
      </w:r>
    </w:p>
    <w:p w14:paraId="55257B2C" w14:textId="61ADDAC1" w:rsidR="00576ADA" w:rsidRPr="00675309" w:rsidRDefault="00576ADA" w:rsidP="00942BFA">
      <w:pPr>
        <w:pStyle w:val="ListParagraph"/>
        <w:numPr>
          <w:ilvl w:val="0"/>
          <w:numId w:val="6"/>
        </w:numPr>
        <w:spacing w:after="0"/>
        <w:rPr>
          <w:lang w:val="en-US"/>
        </w:rPr>
      </w:pPr>
      <w:r>
        <w:rPr>
          <w:lang w:val="en-US"/>
        </w:rPr>
        <w:t xml:space="preserve">That the Federal Minister of Health </w:t>
      </w:r>
      <w:r w:rsidRPr="00675309">
        <w:rPr>
          <w:lang w:val="en-US"/>
        </w:rPr>
        <w:t xml:space="preserve">declare the </w:t>
      </w:r>
      <w:r w:rsidR="00612ADE">
        <w:rPr>
          <w:lang w:val="en-US"/>
        </w:rPr>
        <w:t xml:space="preserve">drug poisoning </w:t>
      </w:r>
      <w:r w:rsidRPr="00675309">
        <w:rPr>
          <w:lang w:val="en-US"/>
        </w:rPr>
        <w:t xml:space="preserve">crisis a National Public Health Emergency </w:t>
      </w:r>
      <w:r>
        <w:t>and that the crisis be met with the same urgency observed in the federal response to the COVID-19 pandemic.</w:t>
      </w:r>
    </w:p>
    <w:p w14:paraId="19F33582" w14:textId="2F4702F2" w:rsidR="00576ADA" w:rsidRPr="00675309" w:rsidRDefault="00576ADA" w:rsidP="00942BFA">
      <w:pPr>
        <w:pStyle w:val="ListParagraph"/>
        <w:numPr>
          <w:ilvl w:val="0"/>
          <w:numId w:val="6"/>
        </w:numPr>
      </w:pPr>
      <w:r>
        <w:rPr>
          <w:lang w:val="en-US"/>
        </w:rPr>
        <w:t>T</w:t>
      </w:r>
      <w:r w:rsidRPr="00675309">
        <w:rPr>
          <w:lang w:val="en-US"/>
        </w:rPr>
        <w:t xml:space="preserve">hat the Federal Government urgently adopt a comprehensive, pan-Canadian action plan </w:t>
      </w:r>
      <w:r w:rsidR="00C811FC">
        <w:rPr>
          <w:lang w:val="en-US"/>
        </w:rPr>
        <w:t>that addresses</w:t>
      </w:r>
      <w:r w:rsidR="00C811FC" w:rsidRPr="00C811FC">
        <w:rPr>
          <w:lang w:val="en-US"/>
        </w:rPr>
        <w:t xml:space="preserve"> the factors that both contribute to harmful substance use and obstruct recovery, such as inadequate housing and social safety nets,</w:t>
      </w:r>
      <w:r w:rsidR="00C811FC">
        <w:rPr>
          <w:lang w:val="en-US"/>
        </w:rPr>
        <w:t xml:space="preserve"> </w:t>
      </w:r>
      <w:r w:rsidRPr="00675309">
        <w:rPr>
          <w:lang w:val="en-US"/>
        </w:rPr>
        <w:t>with the goal of eliminating overdose</w:t>
      </w:r>
      <w:r>
        <w:rPr>
          <w:lang w:val="en-US"/>
        </w:rPr>
        <w:t xml:space="preserve">s and </w:t>
      </w:r>
      <w:r w:rsidR="000A4153">
        <w:rPr>
          <w:lang w:val="en-US"/>
        </w:rPr>
        <w:t xml:space="preserve">drug poisoning </w:t>
      </w:r>
      <w:r>
        <w:rPr>
          <w:lang w:val="en-US"/>
        </w:rPr>
        <w:t>deaths in Canada.</w:t>
      </w:r>
    </w:p>
    <w:p w14:paraId="22586CA2" w14:textId="77777777" w:rsidR="00576ADA" w:rsidRPr="00675309" w:rsidRDefault="00576ADA" w:rsidP="00942BFA">
      <w:pPr>
        <w:pStyle w:val="ListParagraph"/>
        <w:numPr>
          <w:ilvl w:val="0"/>
          <w:numId w:val="6"/>
        </w:numPr>
      </w:pPr>
      <w:r w:rsidRPr="00675309">
        <w:rPr>
          <w:lang w:val="en-US"/>
        </w:rPr>
        <w:t xml:space="preserve">That the Federal Minister of Health </w:t>
      </w:r>
      <w:r>
        <w:rPr>
          <w:lang w:val="en-US"/>
        </w:rPr>
        <w:t xml:space="preserve">decriminalize the </w:t>
      </w:r>
      <w:r w:rsidRPr="00675309">
        <w:rPr>
          <w:lang w:val="en-US"/>
        </w:rPr>
        <w:t>possession of</w:t>
      </w:r>
      <w:r>
        <w:rPr>
          <w:lang w:val="en-US"/>
        </w:rPr>
        <w:t xml:space="preserve"> all drugs for personal use and </w:t>
      </w:r>
      <w:r w:rsidRPr="00675309">
        <w:rPr>
          <w:lang w:val="en-US"/>
        </w:rPr>
        <w:t>scale up prevention, harm re</w:t>
      </w:r>
      <w:r>
        <w:rPr>
          <w:lang w:val="en-US"/>
        </w:rPr>
        <w:t>duction, and treatment services.</w:t>
      </w:r>
    </w:p>
    <w:p w14:paraId="49C12FAF" w14:textId="0453DD93" w:rsidR="00576ADA" w:rsidRPr="00496EE1" w:rsidRDefault="00576ADA" w:rsidP="00942BFA">
      <w:pPr>
        <w:pStyle w:val="ListParagraph"/>
        <w:numPr>
          <w:ilvl w:val="0"/>
          <w:numId w:val="6"/>
        </w:numPr>
      </w:pPr>
      <w:r w:rsidRPr="00675309">
        <w:rPr>
          <w:lang w:val="en-US"/>
        </w:rPr>
        <w:t xml:space="preserve">That the Federal Minister of Health </w:t>
      </w:r>
      <w:r w:rsidR="0076627D">
        <w:rPr>
          <w:lang w:val="en-US"/>
        </w:rPr>
        <w:t xml:space="preserve">and </w:t>
      </w:r>
      <w:r w:rsidRPr="00675309">
        <w:rPr>
          <w:lang w:val="en-US"/>
        </w:rPr>
        <w:t xml:space="preserve">relevant </w:t>
      </w:r>
      <w:r>
        <w:rPr>
          <w:lang w:val="en-US"/>
        </w:rPr>
        <w:t xml:space="preserve">regulatory </w:t>
      </w:r>
      <w:proofErr w:type="gramStart"/>
      <w:r>
        <w:rPr>
          <w:lang w:val="en-US"/>
        </w:rPr>
        <w:t>Colleges</w:t>
      </w:r>
      <w:proofErr w:type="gramEnd"/>
      <w:r>
        <w:rPr>
          <w:lang w:val="en-US"/>
        </w:rPr>
        <w:t xml:space="preserve"> </w:t>
      </w:r>
      <w:r w:rsidRPr="00675309">
        <w:rPr>
          <w:lang w:val="en-US"/>
        </w:rPr>
        <w:t>sup</w:t>
      </w:r>
      <w:r>
        <w:rPr>
          <w:lang w:val="en-US"/>
        </w:rPr>
        <w:t>port and fund the provision of safe s</w:t>
      </w:r>
      <w:r w:rsidR="00C811FC">
        <w:rPr>
          <w:lang w:val="en-US"/>
        </w:rPr>
        <w:t>upply initiatives.</w:t>
      </w:r>
    </w:p>
    <w:p w14:paraId="213FDAFD" w14:textId="77777777" w:rsidR="00337C3A" w:rsidRPr="00C84B1A" w:rsidRDefault="00337C3A" w:rsidP="00337C3A">
      <w:pPr>
        <w:pStyle w:val="ListParagraph"/>
        <w:spacing w:after="0"/>
      </w:pPr>
    </w:p>
    <w:p w14:paraId="1B1779DC" w14:textId="0941E47D" w:rsidR="00250B5C" w:rsidRDefault="004A3324" w:rsidP="003A19D6">
      <w:pPr>
        <w:pStyle w:val="Heading2"/>
      </w:pPr>
      <w:r>
        <w:t>Background</w:t>
      </w:r>
      <w:r w:rsidR="00356E43">
        <w:t xml:space="preserve"> to S</w:t>
      </w:r>
      <w:r w:rsidR="003A19D6">
        <w:t>upport the Calls to Action</w:t>
      </w:r>
    </w:p>
    <w:p w14:paraId="2786E4CD" w14:textId="422160BF" w:rsidR="004A3324" w:rsidRDefault="004A3324" w:rsidP="004A3324">
      <w:pPr>
        <w:pStyle w:val="ListParagraph"/>
        <w:numPr>
          <w:ilvl w:val="0"/>
          <w:numId w:val="1"/>
        </w:numPr>
      </w:pPr>
      <w:r>
        <w:t>E</w:t>
      </w:r>
      <w:r w:rsidRPr="00613DFE">
        <w:t>vidence shows that in many areas throughout the nation, the COVID-19 pan</w:t>
      </w:r>
      <w:r w:rsidR="00356E43">
        <w:t xml:space="preserve">demic is compounding the drug poisoning </w:t>
      </w:r>
      <w:r w:rsidRPr="00613DFE">
        <w:t xml:space="preserve">crisis, with harms </w:t>
      </w:r>
      <w:r w:rsidR="002425B1">
        <w:t xml:space="preserve">from a range of substances </w:t>
      </w:r>
      <w:r w:rsidRPr="00613DFE">
        <w:t>significantly increasing throughout the duration of the pandemic.</w:t>
      </w:r>
      <w:r w:rsidR="002425B1">
        <w:t xml:space="preserve"> </w:t>
      </w:r>
    </w:p>
    <w:p w14:paraId="38584DCF" w14:textId="32CD9EF2" w:rsidR="002425B1" w:rsidRDefault="002425B1" w:rsidP="002425B1">
      <w:pPr>
        <w:pStyle w:val="ListParagraph"/>
        <w:numPr>
          <w:ilvl w:val="0"/>
          <w:numId w:val="1"/>
        </w:numPr>
      </w:pPr>
      <w:r>
        <w:t>High rates of opioid-related deaths across Canada have been a significant and long-standing public health issue, predating the Covid-19 pandemic by over a decade.</w:t>
      </w:r>
    </w:p>
    <w:p w14:paraId="7D044770" w14:textId="77777777" w:rsidR="004A3324" w:rsidRDefault="004A3324" w:rsidP="004A3324">
      <w:pPr>
        <w:pStyle w:val="ListParagraph"/>
        <w:numPr>
          <w:ilvl w:val="0"/>
          <w:numId w:val="1"/>
        </w:numPr>
      </w:pPr>
      <w:r>
        <w:t>During the Covid-19 pandemic, there has been an increase in opioid-related deaths across Ontario and Canada as reflected in the following statistics:</w:t>
      </w:r>
    </w:p>
    <w:p w14:paraId="28359205" w14:textId="77777777" w:rsidR="004A3324" w:rsidRPr="00613DFE" w:rsidRDefault="004A3324" w:rsidP="00EF32D3">
      <w:pPr>
        <w:pStyle w:val="ListParagraph"/>
        <w:numPr>
          <w:ilvl w:val="0"/>
          <w:numId w:val="5"/>
        </w:numPr>
        <w:rPr>
          <w:rFonts w:cstheme="minorHAnsi"/>
        </w:rPr>
      </w:pPr>
      <w:r w:rsidRPr="00613DFE">
        <w:rPr>
          <w:rFonts w:cstheme="minorHAnsi"/>
        </w:rPr>
        <w:lastRenderedPageBreak/>
        <w:t>3,351 opioid toxicity deaths reported within the first six months of the implementation of COVID-19 prevention measures, from April to September 2020</w:t>
      </w:r>
      <w:r>
        <w:rPr>
          <w:rFonts w:cstheme="minorHAnsi"/>
        </w:rPr>
        <w:t xml:space="preserve"> nationally</w:t>
      </w:r>
      <w:r w:rsidRPr="00613DFE">
        <w:rPr>
          <w:rFonts w:cstheme="minorHAnsi"/>
        </w:rPr>
        <w:t xml:space="preserve">, representing a 74% increase in comparison to the six months prior of 1,923 deaths. </w:t>
      </w:r>
    </w:p>
    <w:p w14:paraId="2A2F86E2" w14:textId="4E65DF0F" w:rsidR="004A3324" w:rsidRDefault="004A3324" w:rsidP="00EF32D3">
      <w:pPr>
        <w:pStyle w:val="ListParagraph"/>
        <w:numPr>
          <w:ilvl w:val="0"/>
          <w:numId w:val="5"/>
        </w:numPr>
      </w:pPr>
      <w:r>
        <w:t xml:space="preserve">In Ontario, </w:t>
      </w:r>
      <w:r w:rsidRPr="00613DFE">
        <w:t>1</w:t>
      </w:r>
      <w:r w:rsidR="00EF32D3">
        <w:t>,</w:t>
      </w:r>
      <w:r w:rsidRPr="00613DFE">
        <w:t xml:space="preserve">705 opioid toxicity deaths reported between July and September 2020, </w:t>
      </w:r>
      <w:r w:rsidR="00EF32D3">
        <w:t>the</w:t>
      </w:r>
      <w:r w:rsidRPr="00613DFE">
        <w:t xml:space="preserve"> highest quarterly count since national surveillance began in 2016, representing a 120% increase from the same time frame in 2019 (776 deaths).</w:t>
      </w:r>
    </w:p>
    <w:p w14:paraId="7C56675C" w14:textId="7503AD3D" w:rsidR="004A3324" w:rsidRDefault="004A3324" w:rsidP="00EF32D3">
      <w:pPr>
        <w:pStyle w:val="ListParagraph"/>
        <w:numPr>
          <w:ilvl w:val="0"/>
          <w:numId w:val="5"/>
        </w:numPr>
      </w:pPr>
      <w:r w:rsidRPr="004A3324">
        <w:rPr>
          <w:bCs/>
        </w:rPr>
        <w:t xml:space="preserve">2,426 deaths due to opioid-related causes reported in </w:t>
      </w:r>
      <w:r w:rsidR="00EF32D3">
        <w:rPr>
          <w:bCs/>
        </w:rPr>
        <w:t xml:space="preserve">Ontario in </w:t>
      </w:r>
      <w:r w:rsidRPr="004A3324">
        <w:rPr>
          <w:bCs/>
        </w:rPr>
        <w:t xml:space="preserve">2020, representing a 60% increase </w:t>
      </w:r>
      <w:r w:rsidR="00EF32D3">
        <w:rPr>
          <w:bCs/>
        </w:rPr>
        <w:t>compared</w:t>
      </w:r>
      <w:r w:rsidRPr="004A3324">
        <w:rPr>
          <w:bCs/>
        </w:rPr>
        <w:t xml:space="preserve"> to 2019</w:t>
      </w:r>
      <w:r w:rsidRPr="00613DFE">
        <w:t>.</w:t>
      </w:r>
    </w:p>
    <w:p w14:paraId="19C83DC5" w14:textId="0DFAAB47" w:rsidR="004A3324" w:rsidRDefault="004A3324" w:rsidP="00EF32D3">
      <w:pPr>
        <w:pStyle w:val="ListParagraph"/>
        <w:numPr>
          <w:ilvl w:val="0"/>
          <w:numId w:val="5"/>
        </w:numPr>
      </w:pPr>
      <w:r w:rsidRPr="00613DFE">
        <w:t>Rates of opioid-related deaths have risen throughout the province during the Covid-19 pandemic, with rates more than doubling in 15 of 34 Public Health Units.</w:t>
      </w:r>
    </w:p>
    <w:p w14:paraId="648973B8" w14:textId="2F7D5177" w:rsidR="00553D3F" w:rsidRDefault="00553D3F" w:rsidP="00EF32D3">
      <w:pPr>
        <w:pStyle w:val="ListParagraph"/>
        <w:numPr>
          <w:ilvl w:val="0"/>
          <w:numId w:val="5"/>
        </w:numPr>
      </w:pPr>
      <w:r>
        <w:t>Th</w:t>
      </w:r>
      <w:r w:rsidR="003E3E6B">
        <w:t xml:space="preserve">ere were </w:t>
      </w:r>
      <w:r>
        <w:t>24 opioid-related deaths in Grey Bruce in 2020, a 50% increase from 2019.</w:t>
      </w:r>
    </w:p>
    <w:p w14:paraId="24C19093" w14:textId="53C8D35B" w:rsidR="00CE2AB0" w:rsidRDefault="00CE2AB0" w:rsidP="00882595">
      <w:pPr>
        <w:pStyle w:val="ListParagraph"/>
        <w:numPr>
          <w:ilvl w:val="0"/>
          <w:numId w:val="2"/>
        </w:numPr>
        <w:spacing w:after="0"/>
        <w:rPr>
          <w:rFonts w:cstheme="minorHAnsi"/>
        </w:rPr>
      </w:pPr>
      <w:r>
        <w:t>Half (52%) of accidental opioid toxicity deaths in Canada in 2020 also involved a stimulant, reflecting the polysubstance nature of the drug poisoning crisis.</w:t>
      </w:r>
    </w:p>
    <w:p w14:paraId="41A77250" w14:textId="79F568BE" w:rsidR="000A4153" w:rsidRDefault="000A4153" w:rsidP="00882595">
      <w:pPr>
        <w:pStyle w:val="ListParagraph"/>
        <w:numPr>
          <w:ilvl w:val="0"/>
          <w:numId w:val="2"/>
        </w:numPr>
        <w:spacing w:after="0"/>
        <w:rPr>
          <w:rFonts w:cstheme="minorHAnsi"/>
        </w:rPr>
      </w:pPr>
      <w:r w:rsidRPr="007700B5">
        <w:t>The drug poisoning crisis is not limited to opioids and includes increasing harms from a range of substances. Results from Toronto's Drug Checking Service show an increase in unexpected, highly potent drugs in the unregulated drug supply.</w:t>
      </w:r>
    </w:p>
    <w:p w14:paraId="31F66018" w14:textId="62AA7DC2" w:rsidR="00882595" w:rsidRPr="00882595" w:rsidRDefault="004A3324" w:rsidP="00882595">
      <w:pPr>
        <w:pStyle w:val="ListParagraph"/>
        <w:numPr>
          <w:ilvl w:val="0"/>
          <w:numId w:val="2"/>
        </w:numPr>
        <w:spacing w:after="0"/>
        <w:rPr>
          <w:rFonts w:cstheme="minorHAnsi"/>
        </w:rPr>
      </w:pPr>
      <w:r w:rsidRPr="004A3324">
        <w:rPr>
          <w:rFonts w:cstheme="minorHAnsi"/>
        </w:rPr>
        <w:t>The</w:t>
      </w:r>
      <w:r w:rsidR="00EF32D3">
        <w:rPr>
          <w:rFonts w:cstheme="minorHAnsi"/>
        </w:rPr>
        <w:t xml:space="preserve"> Covid-19</w:t>
      </w:r>
      <w:r w:rsidRPr="004A3324">
        <w:rPr>
          <w:rFonts w:cstheme="minorHAnsi"/>
        </w:rPr>
        <w:t xml:space="preserve"> pandemic will resolve, and the </w:t>
      </w:r>
      <w:r w:rsidR="00CE2AB0">
        <w:rPr>
          <w:rFonts w:cstheme="minorHAnsi"/>
        </w:rPr>
        <w:t xml:space="preserve">drug poisoning crisis </w:t>
      </w:r>
      <w:r w:rsidRPr="004A3324">
        <w:rPr>
          <w:rFonts w:cstheme="minorHAnsi"/>
        </w:rPr>
        <w:t>will continue</w:t>
      </w:r>
      <w:r w:rsidR="00B9523E">
        <w:rPr>
          <w:rFonts w:cstheme="minorHAnsi"/>
        </w:rPr>
        <w:t>.</w:t>
      </w:r>
    </w:p>
    <w:p w14:paraId="53D15508" w14:textId="58D592C4" w:rsidR="004A3324" w:rsidRPr="00BA5865" w:rsidRDefault="004A3324" w:rsidP="004A3324">
      <w:pPr>
        <w:numPr>
          <w:ilvl w:val="0"/>
          <w:numId w:val="2"/>
        </w:numPr>
        <w:spacing w:after="0"/>
        <w:rPr>
          <w:rFonts w:cstheme="minorHAnsi"/>
        </w:rPr>
      </w:pPr>
      <w:r w:rsidRPr="004A3324">
        <w:rPr>
          <w:rFonts w:cstheme="minorHAnsi"/>
        </w:rPr>
        <w:t>There is no one cause of the</w:t>
      </w:r>
      <w:r w:rsidR="00CE2AB0">
        <w:rPr>
          <w:rFonts w:cstheme="minorHAnsi"/>
        </w:rPr>
        <w:t xml:space="preserve"> drug poisoning crisis</w:t>
      </w:r>
      <w:r w:rsidRPr="004A3324">
        <w:rPr>
          <w:rFonts w:cstheme="minorHAnsi"/>
        </w:rPr>
        <w:t>; this issue is driven by the</w:t>
      </w:r>
      <w:r>
        <w:rPr>
          <w:rFonts w:cstheme="minorHAnsi"/>
        </w:rPr>
        <w:t xml:space="preserve"> interaction of several issues, </w:t>
      </w:r>
      <w:r w:rsidR="00753AD5">
        <w:rPr>
          <w:rFonts w:cstheme="minorHAnsi"/>
        </w:rPr>
        <w:t>including the over-prescription of opioids, the t</w:t>
      </w:r>
      <w:r w:rsidR="00EB7A87">
        <w:rPr>
          <w:rFonts w:cstheme="minorHAnsi"/>
        </w:rPr>
        <w:t xml:space="preserve">oxic illegal supply of drugs, </w:t>
      </w:r>
      <w:r w:rsidR="00753AD5">
        <w:rPr>
          <w:rFonts w:cstheme="minorHAnsi"/>
        </w:rPr>
        <w:t>stigma</w:t>
      </w:r>
      <w:r w:rsidR="00EB7A87">
        <w:rPr>
          <w:rFonts w:cstheme="minorHAnsi"/>
        </w:rPr>
        <w:t>,</w:t>
      </w:r>
      <w:r w:rsidR="00753AD5">
        <w:rPr>
          <w:rFonts w:cstheme="minorHAnsi"/>
        </w:rPr>
        <w:t xml:space="preserve"> and criminalization, </w:t>
      </w:r>
      <w:r w:rsidRPr="004A3324">
        <w:rPr>
          <w:rFonts w:cstheme="minorHAnsi"/>
        </w:rPr>
        <w:t xml:space="preserve">and this requires a </w:t>
      </w:r>
      <w:r w:rsidR="00553D3F">
        <w:t>multi-level response involving investments in prevention, treatment, harm reduction, justice, and housing.</w:t>
      </w:r>
    </w:p>
    <w:p w14:paraId="20B7E55B" w14:textId="770E30E1" w:rsidR="00500BEE" w:rsidRPr="00623101" w:rsidRDefault="00553D3F" w:rsidP="00500BEE">
      <w:pPr>
        <w:numPr>
          <w:ilvl w:val="0"/>
          <w:numId w:val="2"/>
        </w:numPr>
        <w:spacing w:after="0"/>
        <w:rPr>
          <w:rFonts w:cstheme="minorHAnsi"/>
        </w:rPr>
      </w:pPr>
      <w:r w:rsidRPr="007700B5">
        <w:t>People who use drugs are on the frontlines of the drug poisoning crisis, and community leadership from people who use drugs, their families, and allies is a vital piece to ensuring the response to the drug poisoning crisis is appropriate and effective.</w:t>
      </w:r>
    </w:p>
    <w:p w14:paraId="0E4D75B5" w14:textId="0D8FEFE5" w:rsidR="004B0F34" w:rsidRDefault="00BE2800" w:rsidP="004B0F34">
      <w:pPr>
        <w:numPr>
          <w:ilvl w:val="0"/>
          <w:numId w:val="2"/>
        </w:numPr>
        <w:spacing w:after="0"/>
        <w:rPr>
          <w:rFonts w:cstheme="minorHAnsi"/>
        </w:rPr>
      </w:pPr>
      <w:r>
        <w:rPr>
          <w:rFonts w:cstheme="minorHAnsi"/>
        </w:rPr>
        <w:t xml:space="preserve">Evidence based interventions that are required in this response include </w:t>
      </w:r>
      <w:r w:rsidR="00B9523E">
        <w:rPr>
          <w:rFonts w:cstheme="minorHAnsi"/>
        </w:rPr>
        <w:t xml:space="preserve">but are not limited to </w:t>
      </w:r>
      <w:r>
        <w:rPr>
          <w:rFonts w:cstheme="minorHAnsi"/>
        </w:rPr>
        <w:t xml:space="preserve">safe opioid supply, </w:t>
      </w:r>
      <w:r w:rsidR="00B9523E">
        <w:rPr>
          <w:rFonts w:cstheme="minorHAnsi"/>
        </w:rPr>
        <w:t xml:space="preserve">enhanced </w:t>
      </w:r>
      <w:r>
        <w:rPr>
          <w:rFonts w:cstheme="minorHAnsi"/>
        </w:rPr>
        <w:t xml:space="preserve">naloxone distribution, increased </w:t>
      </w:r>
      <w:proofErr w:type="gramStart"/>
      <w:r>
        <w:rPr>
          <w:rFonts w:cstheme="minorHAnsi"/>
        </w:rPr>
        <w:t>access</w:t>
      </w:r>
      <w:proofErr w:type="gramEnd"/>
      <w:r>
        <w:rPr>
          <w:rFonts w:cstheme="minorHAnsi"/>
        </w:rPr>
        <w:t xml:space="preserve"> </w:t>
      </w:r>
      <w:r w:rsidR="00DE5F04">
        <w:rPr>
          <w:rFonts w:cstheme="minorHAnsi"/>
        </w:rPr>
        <w:t xml:space="preserve">and reduced barriers </w:t>
      </w:r>
      <w:r>
        <w:rPr>
          <w:rFonts w:cstheme="minorHAnsi"/>
        </w:rPr>
        <w:t>to</w:t>
      </w:r>
      <w:r w:rsidR="00CE2AB0">
        <w:rPr>
          <w:rFonts w:cstheme="minorHAnsi"/>
        </w:rPr>
        <w:t xml:space="preserve"> services for people who use drugs</w:t>
      </w:r>
      <w:r>
        <w:rPr>
          <w:rFonts w:cstheme="minorHAnsi"/>
        </w:rPr>
        <w:t xml:space="preserve">, </w:t>
      </w:r>
      <w:r w:rsidR="00DE5F04">
        <w:rPr>
          <w:rFonts w:cstheme="minorHAnsi"/>
        </w:rPr>
        <w:t>supervised</w:t>
      </w:r>
      <w:r w:rsidR="00B9523E">
        <w:rPr>
          <w:rFonts w:cstheme="minorHAnsi"/>
        </w:rPr>
        <w:t xml:space="preserve"> consumption and overdose prevention sites, and policy reform to decriminalize, legalize and regulate all drugs</w:t>
      </w:r>
      <w:r w:rsidR="00BF5402">
        <w:rPr>
          <w:rFonts w:cstheme="minorHAnsi"/>
        </w:rPr>
        <w:t>.</w:t>
      </w:r>
    </w:p>
    <w:p w14:paraId="65F2EA66" w14:textId="33172C76" w:rsidR="000A4153" w:rsidRDefault="000A4153" w:rsidP="004B0F34">
      <w:pPr>
        <w:numPr>
          <w:ilvl w:val="0"/>
          <w:numId w:val="2"/>
        </w:numPr>
        <w:spacing w:after="0"/>
        <w:rPr>
          <w:rFonts w:cstheme="minorHAnsi"/>
        </w:rPr>
      </w:pPr>
      <w:r w:rsidRPr="007700B5">
        <w:t>In July 2020, the Canadian Association of Chiefs of Police (CACP) endorsed the decriminalization of personal possession of drugs and urged all police agencies in Canada to recognize substance use as a public health issue. In December 2020, the Ontario Association of Chiefs of Police stated its support for the CACP decriminalization recommendations, as well as its support for safer supply and supervised consumption services.</w:t>
      </w:r>
    </w:p>
    <w:p w14:paraId="096FC77B" w14:textId="39B0F814" w:rsidR="00BF5402" w:rsidRPr="00BF5402" w:rsidRDefault="00BF5402" w:rsidP="00BF5402">
      <w:pPr>
        <w:numPr>
          <w:ilvl w:val="0"/>
          <w:numId w:val="2"/>
        </w:numPr>
        <w:spacing w:after="0"/>
        <w:rPr>
          <w:rFonts w:cstheme="minorHAnsi"/>
        </w:rPr>
      </w:pPr>
      <w:r>
        <w:rPr>
          <w:rFonts w:cstheme="minorHAnsi"/>
        </w:rPr>
        <w:t xml:space="preserve">The </w:t>
      </w:r>
      <w:r w:rsidR="002425B1">
        <w:rPr>
          <w:rFonts w:cstheme="minorHAnsi"/>
        </w:rPr>
        <w:t xml:space="preserve">Association of Municipalities of Ontario </w:t>
      </w:r>
      <w:r w:rsidR="009B06E6">
        <w:rPr>
          <w:rFonts w:cstheme="minorHAnsi"/>
        </w:rPr>
        <w:t xml:space="preserve">(AMO) </w:t>
      </w:r>
      <w:r w:rsidR="002425B1">
        <w:rPr>
          <w:rFonts w:cstheme="minorHAnsi"/>
        </w:rPr>
        <w:t xml:space="preserve">and Ontario’s Big City Mayors </w:t>
      </w:r>
      <w:r w:rsidR="009B06E6">
        <w:rPr>
          <w:rFonts w:cstheme="minorHAnsi"/>
        </w:rPr>
        <w:t xml:space="preserve">(OBCM) </w:t>
      </w:r>
      <w:r>
        <w:rPr>
          <w:rFonts w:cstheme="minorHAnsi"/>
        </w:rPr>
        <w:t>are calling for a multi-level response to end the drug poisoning crisis. These</w:t>
      </w:r>
      <w:r w:rsidR="000944AA">
        <w:rPr>
          <w:rFonts w:cstheme="minorHAnsi"/>
        </w:rPr>
        <w:t xml:space="preserve"> recommendations involve </w:t>
      </w:r>
      <w:r>
        <w:rPr>
          <w:rFonts w:cstheme="minorHAnsi"/>
        </w:rPr>
        <w:t>emergency management</w:t>
      </w:r>
      <w:r w:rsidR="004C6697">
        <w:rPr>
          <w:rFonts w:cstheme="minorHAnsi"/>
        </w:rPr>
        <w:t xml:space="preserve"> and </w:t>
      </w:r>
      <w:r w:rsidR="000944AA">
        <w:rPr>
          <w:rFonts w:cstheme="minorHAnsi"/>
        </w:rPr>
        <w:t xml:space="preserve">policy reform </w:t>
      </w:r>
      <w:r w:rsidR="004C6697">
        <w:rPr>
          <w:rFonts w:cstheme="minorHAnsi"/>
        </w:rPr>
        <w:t xml:space="preserve">that acknowledges the root causes of </w:t>
      </w:r>
      <w:r w:rsidR="00FF1490">
        <w:rPr>
          <w:rFonts w:cstheme="minorHAnsi"/>
        </w:rPr>
        <w:t xml:space="preserve">addiction, such as </w:t>
      </w:r>
      <w:r w:rsidR="004C6697">
        <w:rPr>
          <w:rFonts w:cstheme="minorHAnsi"/>
        </w:rPr>
        <w:t>housing related factors, poverty, unemployment, and trauma.</w:t>
      </w:r>
    </w:p>
    <w:p w14:paraId="2E76E716" w14:textId="77777777" w:rsidR="004A3324" w:rsidRPr="004A3324" w:rsidRDefault="004A3324" w:rsidP="004A3324">
      <w:pPr>
        <w:numPr>
          <w:ilvl w:val="0"/>
          <w:numId w:val="2"/>
        </w:numPr>
        <w:spacing w:after="0"/>
        <w:rPr>
          <w:rFonts w:cstheme="minorHAnsi"/>
        </w:rPr>
      </w:pPr>
      <w:r w:rsidRPr="004A3324">
        <w:rPr>
          <w:rFonts w:cstheme="minorHAnsi"/>
        </w:rPr>
        <w:t>The pandemic response demonstrated how public health, community partners, and multiple levels of government can collaborate to address a complex issue</w:t>
      </w:r>
      <w:r w:rsidR="00B9523E">
        <w:rPr>
          <w:rFonts w:cstheme="minorHAnsi"/>
        </w:rPr>
        <w:t>.</w:t>
      </w:r>
    </w:p>
    <w:p w14:paraId="1619F128" w14:textId="0F10A286" w:rsidR="009B06E6" w:rsidRDefault="00B9523E" w:rsidP="002C2450">
      <w:pPr>
        <w:numPr>
          <w:ilvl w:val="0"/>
          <w:numId w:val="2"/>
        </w:numPr>
        <w:spacing w:after="0"/>
        <w:rPr>
          <w:rFonts w:cstheme="minorHAnsi"/>
        </w:rPr>
      </w:pPr>
      <w:r>
        <w:rPr>
          <w:rFonts w:cstheme="minorHAnsi"/>
        </w:rPr>
        <w:t>A</w:t>
      </w:r>
      <w:r w:rsidR="004A3324" w:rsidRPr="004A3324">
        <w:rPr>
          <w:rFonts w:cstheme="minorHAnsi"/>
        </w:rPr>
        <w:t xml:space="preserve"> coordinated, multi-sector, multi-level response that capitalizes on the momentum in combatting Covid-19 and channels efforts to address the </w:t>
      </w:r>
      <w:r w:rsidR="00CE2AB0">
        <w:rPr>
          <w:rFonts w:cstheme="minorHAnsi"/>
        </w:rPr>
        <w:t xml:space="preserve">drug poisoning crisis </w:t>
      </w:r>
      <w:r>
        <w:rPr>
          <w:rFonts w:cstheme="minorHAnsi"/>
        </w:rPr>
        <w:t>is needed.</w:t>
      </w:r>
    </w:p>
    <w:p w14:paraId="0C37ABAD" w14:textId="77777777" w:rsidR="002C2450" w:rsidRPr="002C2450" w:rsidRDefault="002C2450" w:rsidP="002C2450">
      <w:pPr>
        <w:spacing w:after="0"/>
        <w:ind w:left="720"/>
        <w:rPr>
          <w:rFonts w:cstheme="minorHAnsi"/>
        </w:rPr>
      </w:pPr>
    </w:p>
    <w:p w14:paraId="4942DAF4" w14:textId="24D699EF" w:rsidR="000321DB" w:rsidRPr="000321DB" w:rsidRDefault="003A19D6" w:rsidP="00833F9F">
      <w:pPr>
        <w:pStyle w:val="Heading2"/>
        <w:spacing w:before="0" w:after="120"/>
      </w:pPr>
      <w:r>
        <w:lastRenderedPageBreak/>
        <w:t xml:space="preserve">Resources and Further Reading </w:t>
      </w:r>
    </w:p>
    <w:p w14:paraId="1C33EA81" w14:textId="2EC36E80" w:rsidR="002450CD" w:rsidRPr="000321DB" w:rsidRDefault="009B06E6" w:rsidP="000321DB">
      <w:pPr>
        <w:pStyle w:val="ListParagraph"/>
        <w:numPr>
          <w:ilvl w:val="0"/>
          <w:numId w:val="17"/>
        </w:numPr>
        <w:ind w:left="425" w:hanging="425"/>
        <w:contextualSpacing w:val="0"/>
      </w:pPr>
      <w:r w:rsidRPr="000321DB">
        <w:rPr>
          <w:b/>
          <w:bCs/>
        </w:rPr>
        <w:t xml:space="preserve">Through the Lens of Life Experience, </w:t>
      </w:r>
      <w:r w:rsidR="00E478FE" w:rsidRPr="000321DB">
        <w:rPr>
          <w:b/>
          <w:bCs/>
        </w:rPr>
        <w:t>Grey-Bruce Peer Advisory Committee, 2021</w:t>
      </w:r>
      <w:r w:rsidR="000321DB" w:rsidRPr="000321DB">
        <w:rPr>
          <w:b/>
          <w:bCs/>
        </w:rPr>
        <w:t xml:space="preserve"> </w:t>
      </w:r>
      <w:hyperlink r:id="rId11" w:history="1">
        <w:r w:rsidR="000321DB" w:rsidRPr="000321DB">
          <w:rPr>
            <w:rStyle w:val="Hyperlink"/>
          </w:rPr>
          <w:t>https://drugstrategy.org/wp-content/uploads/2021/06/Through-the-Lens-of-Lived-Experience.pdf</w:t>
        </w:r>
      </w:hyperlink>
    </w:p>
    <w:p w14:paraId="47C91BDB" w14:textId="77777777" w:rsidR="000321DB" w:rsidRDefault="000321DB" w:rsidP="000321DB">
      <w:pPr>
        <w:pStyle w:val="ListParagraph"/>
        <w:numPr>
          <w:ilvl w:val="0"/>
          <w:numId w:val="17"/>
        </w:numPr>
        <w:ind w:left="426" w:hanging="426"/>
        <w:rPr>
          <w:b/>
          <w:bCs/>
        </w:rPr>
      </w:pPr>
      <w:r w:rsidRPr="000321DB">
        <w:rPr>
          <w:b/>
          <w:bCs/>
        </w:rPr>
        <w:t>Grey-Bruce Opioid Response Plan, Opioid Working Group, 2020</w:t>
      </w:r>
    </w:p>
    <w:p w14:paraId="14011A77" w14:textId="5CA7E4BD" w:rsidR="000321DB" w:rsidRPr="000321DB" w:rsidRDefault="009E460B" w:rsidP="000321DB">
      <w:pPr>
        <w:pStyle w:val="ListParagraph"/>
        <w:ind w:left="425"/>
        <w:contextualSpacing w:val="0"/>
        <w:rPr>
          <w:b/>
          <w:bCs/>
        </w:rPr>
      </w:pPr>
      <w:hyperlink r:id="rId12" w:history="1">
        <w:r w:rsidR="000321DB" w:rsidRPr="00154F25">
          <w:rPr>
            <w:rStyle w:val="Hyperlink"/>
          </w:rPr>
          <w:t>https://www1.publichealthgreybruce.on.ca/Portals/0/Topics/AlcoholandDrugs/Harm%20Reduction/Grey%20Bruce%20Opioid%20Response%20Plan.pdf?ver=2020-01-23-153710-693</w:t>
        </w:r>
      </w:hyperlink>
    </w:p>
    <w:p w14:paraId="67D90411" w14:textId="77777777" w:rsidR="000321DB" w:rsidRDefault="00E478FE" w:rsidP="000321DB">
      <w:pPr>
        <w:pStyle w:val="ListParagraph"/>
        <w:numPr>
          <w:ilvl w:val="0"/>
          <w:numId w:val="17"/>
        </w:numPr>
        <w:spacing w:after="0" w:line="276" w:lineRule="auto"/>
        <w:ind w:left="426" w:hanging="426"/>
        <w:jc w:val="both"/>
      </w:pPr>
      <w:r w:rsidRPr="000321DB">
        <w:rPr>
          <w:b/>
          <w:bCs/>
        </w:rPr>
        <w:t>Changing Circumstances Surrounding Opioid Related Deaths</w:t>
      </w:r>
      <w:r w:rsidR="002B26EC" w:rsidRPr="000321DB">
        <w:rPr>
          <w:b/>
          <w:bCs/>
        </w:rPr>
        <w:t>, Ontario Drug Policy Research Network,</w:t>
      </w:r>
      <w:r w:rsidRPr="000321DB">
        <w:rPr>
          <w:b/>
          <w:bCs/>
        </w:rPr>
        <w:t xml:space="preserve"> 2021</w:t>
      </w:r>
    </w:p>
    <w:p w14:paraId="4D1B8334" w14:textId="72F84784" w:rsidR="008F1355" w:rsidRDefault="009E460B" w:rsidP="000321DB">
      <w:pPr>
        <w:pStyle w:val="ListParagraph"/>
        <w:spacing w:line="276" w:lineRule="auto"/>
        <w:ind w:left="425"/>
        <w:contextualSpacing w:val="0"/>
        <w:jc w:val="both"/>
      </w:pPr>
      <w:hyperlink r:id="rId13" w:history="1">
        <w:r w:rsidR="000321DB" w:rsidRPr="00154F25">
          <w:rPr>
            <w:rStyle w:val="Hyperlink"/>
          </w:rPr>
          <w:t>https://odprn.ca/wp-content/uploads/2021/05/Changing-Circumstances-Surrounding-Opioid-Related-Deaths.pdf</w:t>
        </w:r>
      </w:hyperlink>
    </w:p>
    <w:p w14:paraId="2360225B" w14:textId="77777777" w:rsidR="000321DB" w:rsidRPr="000321DB" w:rsidRDefault="00AE27C9" w:rsidP="000321DB">
      <w:pPr>
        <w:pStyle w:val="ListParagraph"/>
        <w:numPr>
          <w:ilvl w:val="0"/>
          <w:numId w:val="17"/>
        </w:numPr>
        <w:ind w:left="425" w:hanging="425"/>
        <w:contextualSpacing w:val="0"/>
        <w:rPr>
          <w:b/>
        </w:rPr>
      </w:pPr>
      <w:r w:rsidRPr="000321DB">
        <w:rPr>
          <w:b/>
        </w:rPr>
        <w:t xml:space="preserve">Addressing the Opioid Overdose Crisis in Ontario: Municipal Recommendations for a Provincial Response </w:t>
      </w:r>
      <w:hyperlink r:id="rId14" w:history="1">
        <w:r w:rsidR="000321DB" w:rsidRPr="00154F25">
          <w:rPr>
            <w:rStyle w:val="Hyperlink"/>
            <w:bCs/>
          </w:rPr>
          <w:t>https://www.amo.on.ca/sites/default/files/assets/DOCUMENTS/Reports/2019/AddressingtheOpioidOverdoseEmergencyinOntario20190904.pdf</w:t>
        </w:r>
      </w:hyperlink>
    </w:p>
    <w:p w14:paraId="049C5AB8" w14:textId="77777777" w:rsidR="000321DB" w:rsidRDefault="00BF5402" w:rsidP="000321DB">
      <w:pPr>
        <w:pStyle w:val="ListParagraph"/>
        <w:numPr>
          <w:ilvl w:val="0"/>
          <w:numId w:val="17"/>
        </w:numPr>
        <w:ind w:left="426" w:hanging="426"/>
        <w:rPr>
          <w:b/>
        </w:rPr>
      </w:pPr>
      <w:r w:rsidRPr="000321DB">
        <w:rPr>
          <w:b/>
        </w:rPr>
        <w:t xml:space="preserve">Working Together to Improve our Wellness: Recommendations from Ontario’s </w:t>
      </w:r>
      <w:r w:rsidR="00A333CE" w:rsidRPr="000321DB">
        <w:rPr>
          <w:b/>
        </w:rPr>
        <w:t>Big City Mayors</w:t>
      </w:r>
      <w:r w:rsidRPr="000321DB">
        <w:rPr>
          <w:b/>
        </w:rPr>
        <w:t xml:space="preserve"> to impr</w:t>
      </w:r>
      <w:r w:rsidR="009B06E6" w:rsidRPr="000321DB">
        <w:rPr>
          <w:b/>
        </w:rPr>
        <w:t>ove mental health and addiction</w:t>
      </w:r>
      <w:r w:rsidRPr="000321DB">
        <w:rPr>
          <w:b/>
        </w:rPr>
        <w:t xml:space="preserve"> services in Ontario</w:t>
      </w:r>
    </w:p>
    <w:p w14:paraId="097B6A41" w14:textId="7255736C" w:rsidR="000321DB" w:rsidRPr="000321DB" w:rsidRDefault="009E460B" w:rsidP="000321DB">
      <w:pPr>
        <w:pStyle w:val="ListParagraph"/>
        <w:ind w:left="426"/>
        <w:rPr>
          <w:b/>
        </w:rPr>
      </w:pPr>
      <w:hyperlink r:id="rId15" w:history="1">
        <w:r w:rsidR="000321DB" w:rsidRPr="00154F25">
          <w:rPr>
            <w:rStyle w:val="Hyperlink"/>
            <w:bCs/>
          </w:rPr>
          <w:t>https://www.ontariobigcitymayors.ca/lwdcms/doc-view.php?module=news&amp;module_id=747&amp;doc_name=doc</w:t>
        </w:r>
      </w:hyperlink>
    </w:p>
    <w:p w14:paraId="2A0220C4" w14:textId="77777777" w:rsidR="00C47257" w:rsidRDefault="00C47257"/>
    <w:p w14:paraId="5006C1A1" w14:textId="77777777" w:rsidR="00C47257" w:rsidRPr="00C47257" w:rsidRDefault="00C47257" w:rsidP="00C47257"/>
    <w:p w14:paraId="1B11BB02" w14:textId="2CEC857B" w:rsidR="000321DB" w:rsidRDefault="000321DB">
      <w:r>
        <w:br w:type="page"/>
      </w:r>
    </w:p>
    <w:p w14:paraId="67E62045" w14:textId="0BFA440F" w:rsidR="002C2450" w:rsidRPr="002C2450" w:rsidRDefault="002C2450" w:rsidP="00833F9F">
      <w:pPr>
        <w:pStyle w:val="Heading2"/>
        <w:spacing w:before="0" w:after="120"/>
      </w:pPr>
      <w:r w:rsidRPr="002C2450">
        <w:lastRenderedPageBreak/>
        <w:t>Appendix: Glossary of Terms</w:t>
      </w:r>
    </w:p>
    <w:p w14:paraId="0A4AD37D" w14:textId="77777777" w:rsidR="002C2450" w:rsidRDefault="002C2450" w:rsidP="002C2450">
      <w:pPr>
        <w:spacing w:after="0" w:line="240" w:lineRule="auto"/>
        <w:rPr>
          <w:rFonts w:eastAsia="Times New Roman" w:cstheme="minorHAnsi"/>
          <w:color w:val="222222"/>
          <w:lang w:eastAsia="en-CA"/>
        </w:rPr>
      </w:pPr>
      <w:r w:rsidRPr="002C2450">
        <w:rPr>
          <w:b/>
        </w:rPr>
        <w:t>Decriminalization of Drugs</w:t>
      </w:r>
      <w:r>
        <w:t xml:space="preserve">: </w:t>
      </w:r>
      <w:r>
        <w:rPr>
          <w:rFonts w:eastAsia="Times New Roman" w:cstheme="minorHAnsi"/>
          <w:color w:val="222222"/>
          <w:lang w:eastAsia="en-CA"/>
        </w:rPr>
        <w:t xml:space="preserve">Decriminalization refers to the repeal of laws and policies that define drug use and/or the possession of drugs for personal use as a criminal offence. Trafficking and production are still considered criminal activities. Drug use becomes an administrative rather than a criminal offence and is moved to the jurisdiction of public health. </w:t>
      </w:r>
    </w:p>
    <w:p w14:paraId="73A005EC" w14:textId="77777777" w:rsidR="002C2450" w:rsidRDefault="002C2450" w:rsidP="002C2450">
      <w:pPr>
        <w:spacing w:after="0" w:line="240" w:lineRule="auto"/>
        <w:rPr>
          <w:rFonts w:eastAsia="Times New Roman" w:cstheme="minorHAnsi"/>
          <w:color w:val="222222"/>
          <w:lang w:eastAsia="en-CA"/>
        </w:rPr>
      </w:pPr>
    </w:p>
    <w:p w14:paraId="5D1032AF" w14:textId="77777777" w:rsidR="002C2450" w:rsidRDefault="002C2450" w:rsidP="002C2450">
      <w:pPr>
        <w:rPr>
          <w:rStyle w:val="jsgrdq"/>
          <w:color w:val="000000"/>
        </w:rPr>
      </w:pPr>
      <w:r w:rsidRPr="002C2450">
        <w:rPr>
          <w:b/>
        </w:rPr>
        <w:t>Harm Reduction:</w:t>
      </w:r>
      <w:r>
        <w:t xml:space="preserve"> An approach that seeks to reduce the health and social harms associated with substance use and addiction without necessarily requiring people who use substances to abstain or stop. </w:t>
      </w:r>
      <w:r>
        <w:rPr>
          <w:rStyle w:val="jsgrdq"/>
          <w:color w:val="000000"/>
        </w:rPr>
        <w:t>Harm reduction provides people who use substances a choice of how they will minimize harms through non-judgemental and non-coercive strategies that enhance skills and knowledge to live safer and healthier lives.</w:t>
      </w:r>
    </w:p>
    <w:p w14:paraId="51753878" w14:textId="77777777" w:rsidR="002C2450" w:rsidRDefault="002C2450" w:rsidP="002C2450">
      <w:pPr>
        <w:spacing w:after="0" w:line="240" w:lineRule="auto"/>
        <w:rPr>
          <w:rFonts w:cstheme="minorHAnsi"/>
          <w:color w:val="121223"/>
        </w:rPr>
      </w:pPr>
      <w:r w:rsidRPr="002C2450">
        <w:rPr>
          <w:rFonts w:cstheme="minorHAnsi"/>
          <w:b/>
          <w:color w:val="121223"/>
        </w:rPr>
        <w:t>Legalization of Drugs</w:t>
      </w:r>
      <w:r>
        <w:rPr>
          <w:rFonts w:cstheme="minorHAnsi"/>
          <w:color w:val="121223"/>
        </w:rPr>
        <w:t xml:space="preserve">: </w:t>
      </w:r>
      <w:r>
        <w:rPr>
          <w:bCs/>
        </w:rPr>
        <w:t>Legalization refers to a status</w:t>
      </w:r>
      <w:r>
        <w:t xml:space="preserve"> whereby the production, sale, and consumption of </w:t>
      </w:r>
      <w:proofErr w:type="gramStart"/>
      <w:r>
        <w:t>particular drugs</w:t>
      </w:r>
      <w:proofErr w:type="gramEnd"/>
      <w:r>
        <w:t xml:space="preserve"> are legal under certain circumstances. There may be regulations and restrictions on the manner and location of production, sale, and use - </w:t>
      </w:r>
      <w:proofErr w:type="gramStart"/>
      <w:r>
        <w:t>in order to</w:t>
      </w:r>
      <w:proofErr w:type="gramEnd"/>
      <w:r>
        <w:t xml:space="preserve"> support public health.</w:t>
      </w:r>
      <w:r>
        <w:rPr>
          <w:rFonts w:cstheme="minorHAnsi"/>
          <w:color w:val="121223"/>
        </w:rPr>
        <w:t xml:space="preserve"> </w:t>
      </w:r>
      <w:r>
        <w:t>Drug legalization is in line with regulatory efforts to restrict access to children, dissuade use while driving or working in certain jobs, ban use in certain locations, control manufacturing and distribution (including taxation and labeling), and create standards for purity and potency.</w:t>
      </w:r>
    </w:p>
    <w:p w14:paraId="190425B8" w14:textId="77777777" w:rsidR="002C2450" w:rsidRDefault="002C2450" w:rsidP="002C2450">
      <w:pPr>
        <w:spacing w:after="0" w:line="240" w:lineRule="auto"/>
        <w:rPr>
          <w:rFonts w:cstheme="minorHAnsi"/>
          <w:color w:val="121223"/>
        </w:rPr>
      </w:pPr>
    </w:p>
    <w:p w14:paraId="4F27BA51" w14:textId="77777777" w:rsidR="002C2450" w:rsidRDefault="002C2450" w:rsidP="002C2450">
      <w:pPr>
        <w:spacing w:after="0" w:line="240" w:lineRule="auto"/>
      </w:pPr>
      <w:r w:rsidRPr="002C2450">
        <w:rPr>
          <w:b/>
        </w:rPr>
        <w:t>Naloxone</w:t>
      </w:r>
      <w:r>
        <w:t xml:space="preserve">: A medication which temporarily reverses opioid overdose. </w:t>
      </w:r>
    </w:p>
    <w:p w14:paraId="4223914A" w14:textId="77777777" w:rsidR="002C2450" w:rsidRPr="002C2450" w:rsidRDefault="002C2450" w:rsidP="002C2450">
      <w:pPr>
        <w:spacing w:after="0" w:line="240" w:lineRule="auto"/>
        <w:rPr>
          <w:rFonts w:cstheme="minorHAnsi"/>
          <w:b/>
          <w:color w:val="121223"/>
        </w:rPr>
      </w:pPr>
    </w:p>
    <w:p w14:paraId="698991E2" w14:textId="77777777" w:rsidR="002C2450" w:rsidRDefault="002C2450" w:rsidP="002C2450">
      <w:r w:rsidRPr="002C2450">
        <w:rPr>
          <w:b/>
        </w:rPr>
        <w:t>Opioid Agonist Therapy (OAT):</w:t>
      </w:r>
      <w:r>
        <w:t xml:space="preserve"> OAT, also known as opioid substitution therapy (OST), is the standard treatment for opioid use disorder. It involves prescribing long-acting oral or injectable opioids to improve stability and reduce withdrawal symptoms. </w:t>
      </w:r>
    </w:p>
    <w:p w14:paraId="5DAE6850" w14:textId="77777777" w:rsidR="002C2450" w:rsidRDefault="002C2450" w:rsidP="002C2450">
      <w:r w:rsidRPr="002C2450">
        <w:rPr>
          <w:b/>
        </w:rPr>
        <w:t>Safe Opioid Supply (SOS):</w:t>
      </w:r>
      <w:r>
        <w:t xml:space="preserve"> A harm reduction approach which involves replacing illegal drugs with pharmaceutical alternatives. SOS combines immediate-release opioids with long-acting opioids to mitigate withdrawal symptoms, improve sleep and functioning, and reduce the likelihood an individual will access the illegal drug supply. Safe opioid supply is often provided with wrap around services such as housing and primary care.</w:t>
      </w:r>
    </w:p>
    <w:p w14:paraId="06E49D68" w14:textId="77777777" w:rsidR="002C2450" w:rsidRDefault="002C2450" w:rsidP="002C2450">
      <w:r w:rsidRPr="002C2450">
        <w:rPr>
          <w:b/>
        </w:rPr>
        <w:t>Supervised Consumption Site (SCS</w:t>
      </w:r>
      <w:r>
        <w:t xml:space="preserve">): </w:t>
      </w:r>
      <w:r>
        <w:rPr>
          <w:rStyle w:val="Strong"/>
          <w:rFonts w:eastAsiaTheme="majorEastAsia" w:cstheme="minorHAnsi"/>
          <w:b w:val="0"/>
        </w:rPr>
        <w:t>SCS are facilities that have been exempted by Health Canada under section 56.1 of the </w:t>
      </w:r>
      <w:hyperlink r:id="rId16" w:tgtFrame="_blank" w:history="1">
        <w:r>
          <w:rPr>
            <w:rStyle w:val="Emphasis"/>
            <w:rFonts w:eastAsiaTheme="majorEastAsia" w:cstheme="minorHAnsi"/>
            <w:bCs/>
          </w:rPr>
          <w:t>Controlled Drugs and Substances Act</w:t>
        </w:r>
      </w:hyperlink>
      <w:r>
        <w:rPr>
          <w:rStyle w:val="Strong"/>
          <w:rFonts w:eastAsiaTheme="majorEastAsia" w:cstheme="minorHAnsi"/>
          <w:color w:val="121223"/>
        </w:rPr>
        <w:t>.</w:t>
      </w:r>
      <w:r>
        <w:rPr>
          <w:rFonts w:cstheme="minorHAnsi"/>
          <w:color w:val="121223"/>
        </w:rPr>
        <w:t> Inside an SCS, people can use their own illicit drugs without being prosecuted for drug possession. In addition to witnessed injection and emergency overdose response, SCS typically offer a range of other support services to clients, including referrals to treatment programs and access to housing supports. Procedurally, establishing a SCS is laborious and time-consuming.</w:t>
      </w:r>
    </w:p>
    <w:p w14:paraId="0B77582E" w14:textId="77777777" w:rsidR="002C2450" w:rsidRDefault="002C2450" w:rsidP="002C2450">
      <w:pPr>
        <w:rPr>
          <w:rFonts w:cstheme="minorHAnsi"/>
          <w:color w:val="121223"/>
        </w:rPr>
      </w:pPr>
      <w:r w:rsidRPr="002C2450">
        <w:rPr>
          <w:b/>
        </w:rPr>
        <w:t>Overdose Prevention Site (OPS):</w:t>
      </w:r>
      <w:r>
        <w:rPr>
          <w:rFonts w:eastAsiaTheme="majorEastAsia" w:cstheme="minorHAnsi"/>
          <w:color w:val="121223"/>
        </w:rPr>
        <w:t xml:space="preserve"> </w:t>
      </w:r>
      <w:r>
        <w:rPr>
          <w:rStyle w:val="Strong"/>
          <w:rFonts w:eastAsiaTheme="majorEastAsia" w:cstheme="minorHAnsi"/>
          <w:b w:val="0"/>
          <w:color w:val="121223"/>
        </w:rPr>
        <w:t>OPS were established as a community-based response to overdose deaths and the slow bureaucracy associated with SCS applications.</w:t>
      </w:r>
      <w:r>
        <w:rPr>
          <w:rFonts w:cstheme="minorHAnsi"/>
          <w:color w:val="121223"/>
        </w:rPr>
        <w:t xml:space="preserve"> OPS tend to be peer-run, basic facilities (sometimes consisting of a tent in a public park) where people can use their own illicit drugs, access sterile harm reduction equipment, and receive emergency overdose response as needed. OPS are </w:t>
      </w:r>
      <w:proofErr w:type="gramStart"/>
      <w:r>
        <w:rPr>
          <w:rFonts w:cstheme="minorHAnsi"/>
          <w:color w:val="121223"/>
        </w:rPr>
        <w:t>lower-barrier</w:t>
      </w:r>
      <w:proofErr w:type="gramEnd"/>
      <w:r>
        <w:rPr>
          <w:rFonts w:cstheme="minorHAnsi"/>
          <w:color w:val="121223"/>
        </w:rPr>
        <w:t xml:space="preserve"> than SCS and offer the expertise and direct experience of experiential peer workers. OPS may permit modes of consumption that are prohibited in most SCS, such as drug inhalation. In Ontario, OPS are run via a temporary, Province-wide exemption from the federal government. </w:t>
      </w:r>
    </w:p>
    <w:p w14:paraId="40F291D8" w14:textId="77777777" w:rsidR="002C2450" w:rsidRDefault="002C2450" w:rsidP="002C2450"/>
    <w:p w14:paraId="574A81BF" w14:textId="65AC0D56" w:rsidR="002C2450" w:rsidRPr="002C2450" w:rsidRDefault="002C2450" w:rsidP="00833F9F">
      <w:pPr>
        <w:pStyle w:val="Heading2"/>
        <w:spacing w:before="0" w:after="120"/>
      </w:pPr>
      <w:r w:rsidRPr="002C2450">
        <w:lastRenderedPageBreak/>
        <w:t>References</w:t>
      </w:r>
    </w:p>
    <w:p w14:paraId="76DAA404" w14:textId="4A05C33D" w:rsidR="0054058D" w:rsidRDefault="007D0EC6" w:rsidP="002C2450">
      <w:proofErr w:type="spellStart"/>
      <w:r w:rsidRPr="0054058D">
        <w:t>Agro</w:t>
      </w:r>
      <w:proofErr w:type="spellEnd"/>
      <w:r w:rsidRPr="0054058D">
        <w:t xml:space="preserve">. (2020). </w:t>
      </w:r>
      <w:proofErr w:type="spellStart"/>
      <w:r w:rsidRPr="0054058D">
        <w:t>Agro</w:t>
      </w:r>
      <w:proofErr w:type="spellEnd"/>
      <w:r w:rsidRPr="0054058D">
        <w:t xml:space="preserve">, H. (2020). Drug prohibition has failed and people across the country are suffering as a result-it’s time for Canada to legalize all drugs. Retrieved from </w:t>
      </w:r>
      <w:hyperlink r:id="rId17" w:history="1">
        <w:r w:rsidRPr="0054058D">
          <w:rPr>
            <w:rStyle w:val="Hyperlink"/>
          </w:rPr>
          <w:t>https://readpassage.com/legalizing-all-drugs-is-the-right-prescription-for-canada/</w:t>
        </w:r>
      </w:hyperlink>
    </w:p>
    <w:p w14:paraId="60605C4B" w14:textId="64FA7155" w:rsidR="002C2450" w:rsidRDefault="002C2450" w:rsidP="002C2450">
      <w:r>
        <w:t xml:space="preserve">Alliance for Healthier Communities. (2020, June). Moving the dial on safe supply in Ontario [Webinar]. Retrieved from </w:t>
      </w:r>
      <w:hyperlink r:id="rId18" w:history="1">
        <w:r>
          <w:rPr>
            <w:rStyle w:val="Hyperlink"/>
          </w:rPr>
          <w:t>https://vimeo.com/425940094</w:t>
        </w:r>
      </w:hyperlink>
    </w:p>
    <w:p w14:paraId="61399F44" w14:textId="5A726588" w:rsidR="00E5230F" w:rsidRPr="00E5230F" w:rsidRDefault="00E5230F" w:rsidP="00E5230F">
      <w:r>
        <w:t xml:space="preserve">Canadian Mental Health Association (n.d.). Harm Reduction. Retrieved from: </w:t>
      </w:r>
      <w:hyperlink r:id="rId19" w:history="1">
        <w:r>
          <w:rPr>
            <w:rStyle w:val="Hyperlink"/>
          </w:rPr>
          <w:t>Harm Reduction (cmha.ca)</w:t>
        </w:r>
      </w:hyperlink>
    </w:p>
    <w:p w14:paraId="10C8350E" w14:textId="78013420" w:rsidR="002C2450" w:rsidRPr="009506F3" w:rsidRDefault="002C2450" w:rsidP="002C2450">
      <w:pPr>
        <w:spacing w:after="0" w:line="240" w:lineRule="auto"/>
        <w:rPr>
          <w:rFonts w:cstheme="minorHAnsi"/>
        </w:rPr>
      </w:pPr>
      <w:r w:rsidRPr="009506F3">
        <w:rPr>
          <w:rFonts w:cstheme="minorHAnsi"/>
        </w:rPr>
        <w:t xml:space="preserve">Canadian Research Initiative in Substance Misuse (2021a). </w:t>
      </w:r>
      <w:r w:rsidRPr="009506F3">
        <w:rPr>
          <w:rFonts w:cstheme="minorHAnsi"/>
          <w:i/>
        </w:rPr>
        <w:t>Supporting people who use substances in acute care settings during the Covid-19 pandemic. National rapid guidance</w:t>
      </w:r>
      <w:r w:rsidRPr="009506F3">
        <w:rPr>
          <w:rFonts w:cstheme="minorHAnsi"/>
        </w:rPr>
        <w:t xml:space="preserve">. Retrieved from </w:t>
      </w:r>
      <w:hyperlink r:id="rId20" w:history="1">
        <w:r w:rsidRPr="009506F3">
          <w:rPr>
            <w:rStyle w:val="Hyperlink"/>
            <w:rFonts w:cstheme="minorHAnsi"/>
          </w:rPr>
          <w:t>https://crism.ca/wp-content/uploads/2021/02/Supporting-people-who-use-substances-in-acute-care-settings-during-the-COVID-19-pandemic-V2-18-Feb-2021.pdf</w:t>
        </w:r>
      </w:hyperlink>
    </w:p>
    <w:p w14:paraId="6BA818A6" w14:textId="77777777" w:rsidR="002C2450" w:rsidRPr="009506F3" w:rsidRDefault="002C2450" w:rsidP="002C2450">
      <w:pPr>
        <w:numPr>
          <w:ilvl w:val="0"/>
          <w:numId w:val="11"/>
        </w:numPr>
        <w:spacing w:after="0" w:line="240" w:lineRule="auto"/>
        <w:ind w:hanging="720"/>
        <w:rPr>
          <w:rFonts w:cstheme="minorHAnsi"/>
        </w:rPr>
      </w:pPr>
    </w:p>
    <w:p w14:paraId="2AC68BD9" w14:textId="77777777" w:rsidR="002C2450" w:rsidRPr="009506F3" w:rsidRDefault="002C2450" w:rsidP="002C2450">
      <w:pPr>
        <w:spacing w:after="0" w:line="240" w:lineRule="auto"/>
        <w:rPr>
          <w:rFonts w:cstheme="minorHAnsi"/>
        </w:rPr>
      </w:pPr>
      <w:r w:rsidRPr="009506F3">
        <w:rPr>
          <w:rFonts w:cstheme="minorHAnsi"/>
        </w:rPr>
        <w:t xml:space="preserve">Canadian Research Initiative in Substance Misuse (2021b). </w:t>
      </w:r>
      <w:r w:rsidRPr="009506F3">
        <w:rPr>
          <w:rFonts w:cstheme="minorHAnsi"/>
          <w:i/>
        </w:rPr>
        <w:t>Supporting people who use substances in the shelter setting during the Covid-19 pandemic. National rapid guidance.</w:t>
      </w:r>
      <w:r w:rsidRPr="009506F3">
        <w:rPr>
          <w:rFonts w:cstheme="minorHAnsi"/>
        </w:rPr>
        <w:t xml:space="preserve"> Retrieved from </w:t>
      </w:r>
      <w:hyperlink r:id="rId21" w:history="1">
        <w:r w:rsidRPr="009506F3">
          <w:rPr>
            <w:rStyle w:val="Hyperlink"/>
            <w:rFonts w:cstheme="minorHAnsi"/>
          </w:rPr>
          <w:t>https://crism.ca/wp-content/uploads/2020/06/CRISM-Guidance-Supporting-People-Who-Use-Substances-in-Emergency-Shelter-Settings-V1.pdf</w:t>
        </w:r>
      </w:hyperlink>
    </w:p>
    <w:p w14:paraId="1DEFBAE8" w14:textId="77777777" w:rsidR="002C2450" w:rsidRPr="009506F3" w:rsidRDefault="002C2450" w:rsidP="002C2450">
      <w:pPr>
        <w:spacing w:after="0" w:line="240" w:lineRule="auto"/>
        <w:ind w:hanging="720"/>
        <w:rPr>
          <w:rFonts w:cstheme="minorHAnsi"/>
        </w:rPr>
      </w:pPr>
    </w:p>
    <w:p w14:paraId="10E21D2B" w14:textId="77777777" w:rsidR="002C2450" w:rsidRDefault="002C2450" w:rsidP="002C2450">
      <w:pPr>
        <w:spacing w:after="0" w:line="240" w:lineRule="auto"/>
        <w:rPr>
          <w:rFonts w:cstheme="minorHAnsi"/>
        </w:rPr>
      </w:pPr>
      <w:r>
        <w:rPr>
          <w:rFonts w:cstheme="minorHAnsi"/>
        </w:rPr>
        <w:t xml:space="preserve">Centre for Addiction and Mental Health. (2021). Safer opioid supply: An interview with Rebecca Penn. Retrieved from </w:t>
      </w:r>
      <w:hyperlink r:id="rId22" w:history="1">
        <w:r>
          <w:rPr>
            <w:rStyle w:val="Hyperlink"/>
          </w:rPr>
          <w:t xml:space="preserve">Promising Practice: Safer opioid supply | </w:t>
        </w:r>
        <w:proofErr w:type="spellStart"/>
        <w:r>
          <w:rPr>
            <w:rStyle w:val="Hyperlink"/>
          </w:rPr>
          <w:t>EENet</w:t>
        </w:r>
        <w:proofErr w:type="spellEnd"/>
      </w:hyperlink>
    </w:p>
    <w:p w14:paraId="4D85A7A7" w14:textId="77777777" w:rsidR="002C2450" w:rsidRDefault="002C2450" w:rsidP="002C2450">
      <w:pPr>
        <w:spacing w:after="0" w:line="240" w:lineRule="auto"/>
        <w:ind w:hanging="720"/>
        <w:rPr>
          <w:rFonts w:cstheme="minorHAnsi"/>
        </w:rPr>
      </w:pPr>
    </w:p>
    <w:p w14:paraId="1B7D91E1" w14:textId="77777777" w:rsidR="002C2450" w:rsidRDefault="002C2450" w:rsidP="002C2450">
      <w:pPr>
        <w:spacing w:after="0" w:line="240" w:lineRule="auto"/>
        <w:rPr>
          <w:rFonts w:cstheme="minorHAnsi"/>
        </w:rPr>
      </w:pPr>
      <w:r>
        <w:rPr>
          <w:rFonts w:cstheme="minorHAnsi"/>
        </w:rPr>
        <w:t xml:space="preserve">Fischer, B., Pang, M., &amp; Tyndall, M. (2018). The opioid death crisis in Canada: crucial lessons for public health. Lancet public health. DOI: </w:t>
      </w:r>
      <w:proofErr w:type="gramStart"/>
      <w:r w:rsidRPr="00840438">
        <w:rPr>
          <w:rFonts w:cstheme="minorHAnsi"/>
          <w:color w:val="000000"/>
        </w:rPr>
        <w:t>http://dx.doi.org/10.1016/  S</w:t>
      </w:r>
      <w:proofErr w:type="gramEnd"/>
      <w:r w:rsidRPr="00840438">
        <w:rPr>
          <w:rFonts w:cstheme="minorHAnsi"/>
          <w:color w:val="000000"/>
        </w:rPr>
        <w:t>2468-2667(18)30232-9.</w:t>
      </w:r>
      <w:r>
        <w:rPr>
          <w:rFonts w:ascii="Arial" w:hAnsi="Arial" w:cs="Arial"/>
          <w:color w:val="000000"/>
          <w:sz w:val="13"/>
          <w:szCs w:val="13"/>
        </w:rPr>
        <w:t xml:space="preserve"> </w:t>
      </w:r>
      <w:r>
        <w:rPr>
          <w:rFonts w:cstheme="minorHAnsi"/>
        </w:rPr>
        <w:t xml:space="preserve">Retrieved from </w:t>
      </w:r>
      <w:hyperlink r:id="rId23" w:history="1">
        <w:r>
          <w:rPr>
            <w:rStyle w:val="Hyperlink"/>
          </w:rPr>
          <w:t>2019 Fischer Lessons for public health - Google Docs</w:t>
        </w:r>
      </w:hyperlink>
    </w:p>
    <w:p w14:paraId="617B95E8" w14:textId="793760B4" w:rsidR="00E5230F" w:rsidRDefault="00E5230F" w:rsidP="00E5230F">
      <w:pPr>
        <w:spacing w:after="0" w:line="240" w:lineRule="auto"/>
        <w:rPr>
          <w:rFonts w:cstheme="minorHAnsi"/>
        </w:rPr>
      </w:pPr>
    </w:p>
    <w:p w14:paraId="45E1AB9E" w14:textId="63D5E25A" w:rsidR="00FA5CB3" w:rsidRDefault="007D0EC6" w:rsidP="00E5230F">
      <w:r w:rsidRPr="00FA5CB3">
        <w:t xml:space="preserve">Gomes T, Murray R, </w:t>
      </w:r>
      <w:proofErr w:type="spellStart"/>
      <w:r w:rsidRPr="00FA5CB3">
        <w:t>Kolla</w:t>
      </w:r>
      <w:proofErr w:type="spellEnd"/>
      <w:r w:rsidRPr="00FA5CB3">
        <w:t xml:space="preserve"> G, Leece P, Bansal S, </w:t>
      </w:r>
      <w:proofErr w:type="spellStart"/>
      <w:r w:rsidRPr="00FA5CB3">
        <w:t>Besharah</w:t>
      </w:r>
      <w:proofErr w:type="spellEnd"/>
      <w:r w:rsidRPr="00FA5CB3">
        <w:t xml:space="preserve"> J, Cahill T, Campbell T, Fritz A, Munro C, Toner L, Watford J on behalf of the Ontario Drug Policy Research Network, Office of the Chief Coroner for Ontario and Ontario Agency for Health Protection and Promotion (Public Health Ontario). Changing circumstances surrounding opioid-related deaths in Ontario during the COVID-19 pandemic. Toronto, ON: Ontario Drug Policy Research Network; 2021.</w:t>
      </w:r>
    </w:p>
    <w:p w14:paraId="4622722C" w14:textId="0981713B" w:rsidR="00E5230F" w:rsidRPr="00E5230F" w:rsidRDefault="00E5230F" w:rsidP="00E5230F">
      <w:pPr>
        <w:rPr>
          <w:color w:val="0563C1" w:themeColor="hyperlink"/>
          <w:u w:val="single"/>
        </w:rPr>
      </w:pPr>
      <w:r>
        <w:t xml:space="preserve">Government of Ontario. (2020). Recognize and temporarily reverse an opioid overdose. Retrieved from </w:t>
      </w:r>
      <w:hyperlink r:id="rId24" w:anchor="section-0" w:history="1">
        <w:r>
          <w:rPr>
            <w:rStyle w:val="Hyperlink"/>
          </w:rPr>
          <w:t>Recognize and temporarily reverse an opioid overdose | Ontario.ca</w:t>
        </w:r>
      </w:hyperlink>
    </w:p>
    <w:p w14:paraId="0F577022" w14:textId="6293B8EB" w:rsidR="00FA5CB3" w:rsidRDefault="00FA5CB3" w:rsidP="00E5230F">
      <w:r w:rsidRPr="00FA5CB3">
        <w:t xml:space="preserve">Hales, J., </w:t>
      </w:r>
      <w:proofErr w:type="spellStart"/>
      <w:r w:rsidRPr="00FA5CB3">
        <w:t>Kolla</w:t>
      </w:r>
      <w:proofErr w:type="spellEnd"/>
      <w:r w:rsidRPr="00FA5CB3">
        <w:t>, G., Man, T., O’Reilly, E., Rai, N., Sereda, A. (2019). </w:t>
      </w:r>
      <w:r w:rsidRPr="00FA5CB3">
        <w:rPr>
          <w:i/>
          <w:iCs/>
        </w:rPr>
        <w:t>Safer Opioid Supply Programs (SOS): A Harm Reduction Informed Guiding Document for Primary Care Teams-April 2020 update</w:t>
      </w:r>
      <w:r w:rsidRPr="00FA5CB3">
        <w:t>. Available online: </w:t>
      </w:r>
      <w:hyperlink r:id="rId25" w:history="1">
        <w:r w:rsidRPr="00FA5CB3">
          <w:rPr>
            <w:rStyle w:val="Hyperlink"/>
          </w:rPr>
          <w:t>https://bit.ly/3dR3b8m</w:t>
        </w:r>
      </w:hyperlink>
    </w:p>
    <w:p w14:paraId="1939A0C3" w14:textId="7823C55D" w:rsidR="00E5230F" w:rsidRPr="00E5230F" w:rsidRDefault="00E5230F" w:rsidP="00E5230F">
      <w:r>
        <w:t xml:space="preserve">Harm Reduction TO. (n.d.). Drug decriminalization and legalization. Retrieved from </w:t>
      </w:r>
      <w:hyperlink r:id="rId26" w:history="1">
        <w:proofErr w:type="spellStart"/>
        <w:r>
          <w:rPr>
            <w:rStyle w:val="Hyperlink"/>
          </w:rPr>
          <w:t>Decriminilization</w:t>
        </w:r>
        <w:proofErr w:type="spellEnd"/>
        <w:r>
          <w:rPr>
            <w:rStyle w:val="Hyperlink"/>
          </w:rPr>
          <w:t xml:space="preserve"> &amp; Legalization — Harm Reduction TO</w:t>
        </w:r>
      </w:hyperlink>
    </w:p>
    <w:p w14:paraId="58C538A6" w14:textId="1F4AF22E" w:rsidR="002C2450" w:rsidRPr="009506F3" w:rsidRDefault="002C2450" w:rsidP="002C2450">
      <w:pPr>
        <w:spacing w:after="0" w:line="240" w:lineRule="auto"/>
        <w:rPr>
          <w:rFonts w:cstheme="minorHAnsi"/>
        </w:rPr>
      </w:pPr>
      <w:r w:rsidRPr="009506F3">
        <w:rPr>
          <w:rFonts w:cstheme="minorHAnsi"/>
        </w:rPr>
        <w:t xml:space="preserve">Nowell, M. (2021). </w:t>
      </w:r>
      <w:r w:rsidRPr="009506F3">
        <w:rPr>
          <w:rFonts w:cstheme="minorHAnsi"/>
          <w:i/>
          <w:iCs/>
        </w:rPr>
        <w:t>Safe supply: What is it and why is it happening in Canada.</w:t>
      </w:r>
      <w:r w:rsidRPr="009506F3">
        <w:rPr>
          <w:rFonts w:cstheme="minorHAnsi"/>
        </w:rPr>
        <w:t xml:space="preserve"> Retrieved from </w:t>
      </w:r>
      <w:hyperlink r:id="rId27" w:history="1">
        <w:r w:rsidRPr="009506F3">
          <w:rPr>
            <w:rStyle w:val="Hyperlink"/>
            <w:rFonts w:cstheme="minorHAnsi"/>
          </w:rPr>
          <w:t>https://</w:t>
        </w:r>
      </w:hyperlink>
      <w:hyperlink r:id="rId28" w:history="1">
        <w:r w:rsidRPr="009506F3">
          <w:rPr>
            <w:rStyle w:val="Hyperlink"/>
            <w:rFonts w:cstheme="minorHAnsi"/>
          </w:rPr>
          <w:t>www.catie.ca/en/pif/spring-2021/safe-supply-what-it-and-what-happening-canada</w:t>
        </w:r>
      </w:hyperlink>
    </w:p>
    <w:p w14:paraId="211B2660" w14:textId="77777777" w:rsidR="002C2450" w:rsidRPr="009506F3" w:rsidRDefault="002C2450" w:rsidP="002C2450">
      <w:pPr>
        <w:numPr>
          <w:ilvl w:val="0"/>
          <w:numId w:val="12"/>
        </w:numPr>
        <w:spacing w:after="0" w:line="240" w:lineRule="auto"/>
        <w:ind w:hanging="720"/>
        <w:rPr>
          <w:rFonts w:cstheme="minorHAnsi"/>
        </w:rPr>
      </w:pPr>
    </w:p>
    <w:p w14:paraId="299C0432" w14:textId="77777777" w:rsidR="002C2450" w:rsidRPr="009506F3" w:rsidRDefault="002C2450" w:rsidP="002C2450">
      <w:pPr>
        <w:spacing w:after="0" w:line="240" w:lineRule="auto"/>
        <w:rPr>
          <w:rFonts w:cstheme="minorHAnsi"/>
        </w:rPr>
      </w:pPr>
      <w:r w:rsidRPr="009506F3">
        <w:rPr>
          <w:rFonts w:cstheme="minorHAnsi"/>
        </w:rPr>
        <w:t xml:space="preserve">Penn (2020). </w:t>
      </w:r>
      <w:r w:rsidRPr="009506F3">
        <w:rPr>
          <w:rFonts w:cstheme="minorHAnsi"/>
          <w:i/>
        </w:rPr>
        <w:t>Lessons not learned. The overdose crisis in Canada.</w:t>
      </w:r>
      <w:r w:rsidRPr="009506F3">
        <w:rPr>
          <w:rFonts w:cstheme="minorHAnsi"/>
        </w:rPr>
        <w:t xml:space="preserve"> Retrieved from </w:t>
      </w:r>
      <w:hyperlink r:id="rId29" w:history="1">
        <w:r w:rsidRPr="009506F3">
          <w:rPr>
            <w:rStyle w:val="Hyperlink"/>
            <w:rFonts w:cstheme="minorHAnsi"/>
          </w:rPr>
          <w:t>https://www.catie.ca/en/positiveside/spring-2020/lessons-not-learned</w:t>
        </w:r>
      </w:hyperlink>
    </w:p>
    <w:p w14:paraId="6159CB67" w14:textId="77777777" w:rsidR="002C2450" w:rsidRPr="009506F3" w:rsidRDefault="002C2450" w:rsidP="002C2450">
      <w:pPr>
        <w:numPr>
          <w:ilvl w:val="0"/>
          <w:numId w:val="12"/>
        </w:numPr>
        <w:spacing w:after="0" w:line="240" w:lineRule="auto"/>
        <w:ind w:hanging="720"/>
        <w:rPr>
          <w:rFonts w:cstheme="minorHAnsi"/>
        </w:rPr>
      </w:pPr>
    </w:p>
    <w:p w14:paraId="4082497E" w14:textId="77777777" w:rsidR="00E5230F" w:rsidRDefault="00E5230F" w:rsidP="00E5230F">
      <w:pPr>
        <w:spacing w:after="0" w:line="240" w:lineRule="auto"/>
      </w:pPr>
      <w:r>
        <w:t xml:space="preserve">Pivot Legal Society. (2020). Canada’s Supervised Consumption and Overdose Prevention Sites. Retrieved from </w:t>
      </w:r>
      <w:hyperlink r:id="rId30" w:history="1">
        <w:r>
          <w:rPr>
            <w:rStyle w:val="Hyperlink"/>
          </w:rPr>
          <w:t>https://www.pivotlegal.org/scs_ops_map</w:t>
        </w:r>
      </w:hyperlink>
    </w:p>
    <w:p w14:paraId="4B7DA919" w14:textId="77777777" w:rsidR="00E5230F" w:rsidRDefault="00E5230F" w:rsidP="002C2450">
      <w:pPr>
        <w:spacing w:after="0" w:line="240" w:lineRule="auto"/>
        <w:rPr>
          <w:rFonts w:cstheme="minorHAnsi"/>
        </w:rPr>
      </w:pPr>
    </w:p>
    <w:p w14:paraId="4CDD1512" w14:textId="73DB9F5D" w:rsidR="002C2450" w:rsidRPr="009506F3" w:rsidRDefault="002C2450" w:rsidP="002C2450">
      <w:pPr>
        <w:spacing w:after="0" w:line="240" w:lineRule="auto"/>
        <w:rPr>
          <w:rFonts w:cstheme="minorHAnsi"/>
        </w:rPr>
      </w:pPr>
      <w:r w:rsidRPr="009506F3">
        <w:rPr>
          <w:rFonts w:cstheme="minorHAnsi"/>
        </w:rPr>
        <w:t xml:space="preserve">Public Health Agency of Canada. (2021). </w:t>
      </w:r>
      <w:r w:rsidRPr="009506F3">
        <w:rPr>
          <w:rFonts w:cstheme="minorHAnsi"/>
          <w:i/>
        </w:rPr>
        <w:t>Apparent opioid and stimulant toxicity deaths. Surveillance of opioid and stimulant-related harms in Canada.</w:t>
      </w:r>
      <w:r w:rsidRPr="009506F3">
        <w:rPr>
          <w:rFonts w:cstheme="minorHAnsi"/>
        </w:rPr>
        <w:t xml:space="preserve"> Retrieved from </w:t>
      </w:r>
      <w:hyperlink r:id="rId31" w:history="1">
        <w:r w:rsidRPr="009506F3">
          <w:rPr>
            <w:rStyle w:val="Hyperlink"/>
            <w:rFonts w:cstheme="minorHAnsi"/>
          </w:rPr>
          <w:t>https://</w:t>
        </w:r>
      </w:hyperlink>
      <w:hyperlink r:id="rId32" w:history="1">
        <w:r w:rsidRPr="009506F3">
          <w:rPr>
            <w:rStyle w:val="Hyperlink"/>
            <w:rFonts w:cstheme="minorHAnsi"/>
          </w:rPr>
          <w:t>health-infobase.canada.ca/src/doc/SRHD/UpdateDeathsMarch2021.pdf</w:t>
        </w:r>
      </w:hyperlink>
    </w:p>
    <w:p w14:paraId="587E2788" w14:textId="77777777" w:rsidR="002C2450" w:rsidRPr="009506F3" w:rsidRDefault="002C2450" w:rsidP="002C2450">
      <w:pPr>
        <w:numPr>
          <w:ilvl w:val="0"/>
          <w:numId w:val="12"/>
        </w:numPr>
        <w:spacing w:after="0" w:line="240" w:lineRule="auto"/>
        <w:ind w:hanging="720"/>
        <w:rPr>
          <w:rFonts w:cstheme="minorHAnsi"/>
        </w:rPr>
      </w:pPr>
    </w:p>
    <w:p w14:paraId="7ABF7DFF" w14:textId="035B6F67" w:rsidR="002C2450" w:rsidRPr="009506F3" w:rsidRDefault="00FE5E96" w:rsidP="002C2450">
      <w:pPr>
        <w:spacing w:after="0" w:line="240" w:lineRule="auto"/>
        <w:rPr>
          <w:rFonts w:cstheme="minorHAnsi"/>
        </w:rPr>
      </w:pPr>
      <w:r>
        <w:rPr>
          <w:rFonts w:cstheme="minorHAnsi"/>
        </w:rPr>
        <w:t>Public Health Ontario. (2021</w:t>
      </w:r>
      <w:r w:rsidR="002C2450" w:rsidRPr="009506F3">
        <w:rPr>
          <w:rFonts w:cstheme="minorHAnsi"/>
        </w:rPr>
        <w:t xml:space="preserve">). Cases of opioid-related morbidity and mortality, Grey Bruce Health Unit, 2003-2019. Retrieved from </w:t>
      </w:r>
      <w:hyperlink r:id="rId33" w:history="1">
        <w:r w:rsidR="002C2450" w:rsidRPr="009506F3">
          <w:rPr>
            <w:rStyle w:val="Hyperlink"/>
            <w:rFonts w:cstheme="minorHAnsi"/>
          </w:rPr>
          <w:t>https://</w:t>
        </w:r>
      </w:hyperlink>
      <w:hyperlink r:id="rId34" w:history="1">
        <w:r w:rsidR="002C2450" w:rsidRPr="009506F3">
          <w:rPr>
            <w:rStyle w:val="Hyperlink"/>
            <w:rFonts w:cstheme="minorHAnsi"/>
          </w:rPr>
          <w:t>www.publichealthontario.ca/en/data-and-analysis/substance-use/interactive-opioid-tool</w:t>
        </w:r>
      </w:hyperlink>
    </w:p>
    <w:p w14:paraId="133AA2FB" w14:textId="1B302BAD" w:rsidR="002C2450" w:rsidRDefault="002C2450" w:rsidP="00FE5E96">
      <w:pPr>
        <w:spacing w:after="0" w:line="240" w:lineRule="auto"/>
        <w:rPr>
          <w:rStyle w:val="Hyperlink"/>
          <w:rFonts w:cstheme="minorHAnsi"/>
        </w:rPr>
      </w:pPr>
    </w:p>
    <w:p w14:paraId="4B8B3AFE" w14:textId="77777777" w:rsidR="002C2450" w:rsidRPr="00E02B02" w:rsidRDefault="002C2450" w:rsidP="002C2450">
      <w:pPr>
        <w:spacing w:after="0" w:line="240" w:lineRule="auto"/>
        <w:rPr>
          <w:rFonts w:cstheme="minorHAnsi"/>
        </w:rPr>
      </w:pPr>
      <w:r>
        <w:rPr>
          <w:rStyle w:val="Hyperlink"/>
          <w:rFonts w:cstheme="minorHAnsi"/>
        </w:rPr>
        <w:t xml:space="preserve">Tyndall, M. (2018). </w:t>
      </w:r>
      <w:r w:rsidRPr="00E02B02">
        <w:rPr>
          <w:rFonts w:cstheme="minorHAnsi"/>
          <w:bCs/>
        </w:rPr>
        <w:t>An emergency r</w:t>
      </w:r>
      <w:r>
        <w:rPr>
          <w:rFonts w:cstheme="minorHAnsi"/>
          <w:bCs/>
        </w:rPr>
        <w:t>esponse to the opioid overdose </w:t>
      </w:r>
      <w:r w:rsidRPr="00E02B02">
        <w:rPr>
          <w:rFonts w:cstheme="minorHAnsi"/>
          <w:bCs/>
        </w:rPr>
        <w:t xml:space="preserve">crisis in Canada: a regulated opioid </w:t>
      </w:r>
      <w:proofErr w:type="gramStart"/>
      <w:r w:rsidRPr="00E02B02">
        <w:rPr>
          <w:rFonts w:cstheme="minorHAnsi"/>
          <w:bCs/>
        </w:rPr>
        <w:t>distribution  program</w:t>
      </w:r>
      <w:proofErr w:type="gramEnd"/>
      <w:r w:rsidRPr="00E02B02">
        <w:rPr>
          <w:rFonts w:cstheme="minorHAnsi"/>
          <w:bCs/>
        </w:rPr>
        <w:t xml:space="preserve">. </w:t>
      </w:r>
      <w:r>
        <w:rPr>
          <w:rFonts w:ascii="Arial" w:hAnsi="Arial" w:cs="Arial"/>
          <w:i/>
          <w:iCs/>
          <w:color w:val="231F20"/>
          <w:sz w:val="20"/>
          <w:szCs w:val="20"/>
        </w:rPr>
        <w:t xml:space="preserve">CMAJ </w:t>
      </w:r>
      <w:r>
        <w:rPr>
          <w:rFonts w:ascii="Arial" w:hAnsi="Arial" w:cs="Arial"/>
          <w:color w:val="231F20"/>
          <w:sz w:val="20"/>
          <w:szCs w:val="20"/>
        </w:rPr>
        <w:t>2018 January 15;</w:t>
      </w:r>
      <w:proofErr w:type="gramStart"/>
      <w:r>
        <w:rPr>
          <w:rFonts w:ascii="Arial" w:hAnsi="Arial" w:cs="Arial"/>
          <w:color w:val="231F20"/>
          <w:sz w:val="20"/>
          <w:szCs w:val="20"/>
        </w:rPr>
        <w:t>190:E</w:t>
      </w:r>
      <w:proofErr w:type="gramEnd"/>
      <w:r>
        <w:rPr>
          <w:rFonts w:ascii="Arial" w:hAnsi="Arial" w:cs="Arial"/>
          <w:color w:val="231F20"/>
          <w:sz w:val="20"/>
          <w:szCs w:val="20"/>
        </w:rPr>
        <w:t xml:space="preserve">35-6. </w:t>
      </w:r>
      <w:proofErr w:type="spellStart"/>
      <w:r>
        <w:rPr>
          <w:rFonts w:ascii="Arial" w:hAnsi="Arial" w:cs="Arial"/>
          <w:color w:val="231F20"/>
          <w:sz w:val="20"/>
          <w:szCs w:val="20"/>
        </w:rPr>
        <w:t>doi</w:t>
      </w:r>
      <w:proofErr w:type="spellEnd"/>
      <w:r>
        <w:rPr>
          <w:rFonts w:ascii="Arial" w:hAnsi="Arial" w:cs="Arial"/>
          <w:color w:val="231F20"/>
          <w:sz w:val="20"/>
          <w:szCs w:val="20"/>
        </w:rPr>
        <w:t xml:space="preserve">: 10.1503/cmaj.171060. Retrieved from </w:t>
      </w:r>
      <w:hyperlink r:id="rId35" w:history="1">
        <w:r>
          <w:rPr>
            <w:rStyle w:val="Hyperlink"/>
          </w:rPr>
          <w:t xml:space="preserve">2018 Tyndall </w:t>
        </w:r>
        <w:proofErr w:type="gramStart"/>
        <w:r>
          <w:rPr>
            <w:rStyle w:val="Hyperlink"/>
          </w:rPr>
          <w:t>An</w:t>
        </w:r>
        <w:proofErr w:type="gramEnd"/>
        <w:r>
          <w:rPr>
            <w:rStyle w:val="Hyperlink"/>
          </w:rPr>
          <w:t xml:space="preserve"> emergency response to the opioid overdose crisis in Canada a regulated opioid distribution program - Google Docs</w:t>
        </w:r>
      </w:hyperlink>
    </w:p>
    <w:p w14:paraId="37630AE0" w14:textId="77777777" w:rsidR="002C2450" w:rsidRDefault="002C2450" w:rsidP="002C2450">
      <w:pPr>
        <w:spacing w:after="0" w:line="240" w:lineRule="auto"/>
        <w:rPr>
          <w:rFonts w:cstheme="minorHAnsi"/>
        </w:rPr>
      </w:pPr>
    </w:p>
    <w:p w14:paraId="6C007BDE" w14:textId="71FE163D" w:rsidR="009B06E6" w:rsidRDefault="002450CD" w:rsidP="008F1355">
      <w:r>
        <w:t xml:space="preserve">Centre on Drug Policy Evaluation. (2021). </w:t>
      </w:r>
      <w:proofErr w:type="gramStart"/>
      <w:r>
        <w:t>What’s</w:t>
      </w:r>
      <w:proofErr w:type="gramEnd"/>
      <w:r>
        <w:t xml:space="preserve"> in Toronto’s Drug Supply? Results from Samples Checked by Toronto’s Drug Checking Services. Retrieved from </w:t>
      </w:r>
      <w:hyperlink r:id="rId36" w:history="1">
        <w:r w:rsidRPr="00154F25">
          <w:rPr>
            <w:rStyle w:val="Hyperlink"/>
          </w:rPr>
          <w:t>https://drugchecking.cdpe.org/wp-content/uploads/dlm_uploads/2021/04/Toronto-DCS-Report_2020.pdf</w:t>
        </w:r>
      </w:hyperlink>
    </w:p>
    <w:p w14:paraId="6D23DB2F" w14:textId="77777777" w:rsidR="002450CD" w:rsidRDefault="002450CD" w:rsidP="002450CD">
      <w:r>
        <w:t xml:space="preserve">Ontario Association of Chiefs of Police. (2020). OACP Statement: Decriminalization for Simple Possession of Illicit Drugs. Retrieved from </w:t>
      </w:r>
      <w:hyperlink r:id="rId37" w:history="1">
        <w:r w:rsidRPr="00154F25">
          <w:rPr>
            <w:rStyle w:val="Hyperlink"/>
          </w:rPr>
          <w:t>https://www.oacp.ca/en/news/oacp-statement-decriminalization-for-simple-possession-of-illicit-drugs.aspx</w:t>
        </w:r>
      </w:hyperlink>
    </w:p>
    <w:p w14:paraId="7E498F43" w14:textId="05473FC0" w:rsidR="002450CD" w:rsidRDefault="002450CD" w:rsidP="008F1355"/>
    <w:p w14:paraId="1965630C" w14:textId="77777777" w:rsidR="002450CD" w:rsidRDefault="002450CD" w:rsidP="008F1355"/>
    <w:sectPr w:rsidR="002450CD">
      <w:footerReference w:type="default" r:id="rId3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E7343" w14:textId="77777777" w:rsidR="0021050B" w:rsidRDefault="0021050B" w:rsidP="002C2450">
      <w:pPr>
        <w:spacing w:after="0" w:line="240" w:lineRule="auto"/>
      </w:pPr>
      <w:r>
        <w:separator/>
      </w:r>
    </w:p>
  </w:endnote>
  <w:endnote w:type="continuationSeparator" w:id="0">
    <w:p w14:paraId="19179715" w14:textId="77777777" w:rsidR="0021050B" w:rsidRDefault="0021050B" w:rsidP="002C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457765"/>
      <w:docPartObj>
        <w:docPartGallery w:val="Page Numbers (Bottom of Page)"/>
        <w:docPartUnique/>
      </w:docPartObj>
    </w:sdtPr>
    <w:sdtEndPr>
      <w:rPr>
        <w:noProof/>
      </w:rPr>
    </w:sdtEndPr>
    <w:sdtContent>
      <w:p w14:paraId="0D95D2C0" w14:textId="449A54C4" w:rsidR="00833F9F" w:rsidRDefault="00833F9F" w:rsidP="00833F9F">
        <w:pPr>
          <w:pStyle w:val="Footer"/>
          <w:pBdr>
            <w:top w:val="single" w:sz="4" w:space="1" w:color="auto"/>
          </w:pBdr>
          <w:rPr>
            <w:noProof/>
          </w:rPr>
        </w:pPr>
        <w:r>
          <w:t xml:space="preserve">Drug Poisoning Crisis: Backgrounder for </w:t>
        </w:r>
        <w:r w:rsidR="009E460B">
          <w:t>Grey</w:t>
        </w:r>
        <w:r>
          <w:t xml:space="preserve"> County council</w:t>
        </w:r>
        <w:r>
          <w:tab/>
        </w:r>
        <w:r w:rsidR="002C2450">
          <w:fldChar w:fldCharType="begin"/>
        </w:r>
        <w:r w:rsidR="002C2450">
          <w:instrText xml:space="preserve"> PAGE   \* MERGEFORMAT </w:instrText>
        </w:r>
        <w:r w:rsidR="002C2450">
          <w:fldChar w:fldCharType="separate"/>
        </w:r>
        <w:r w:rsidR="001474F3">
          <w:rPr>
            <w:noProof/>
          </w:rPr>
          <w:t>2</w:t>
        </w:r>
        <w:r w:rsidR="002C2450">
          <w:rPr>
            <w:noProof/>
          </w:rPr>
          <w:fldChar w:fldCharType="end"/>
        </w:r>
      </w:p>
      <w:p w14:paraId="32D768D5" w14:textId="1A6100C2" w:rsidR="002C2450" w:rsidRDefault="009E460B" w:rsidP="00833F9F">
        <w:pPr>
          <w:pStyle w:val="Footer"/>
        </w:pPr>
        <w:r>
          <w:rPr>
            <w:noProof/>
          </w:rPr>
          <w:t>July 22</w:t>
        </w:r>
        <w:r w:rsidR="00833F9F">
          <w:rPr>
            <w:noProof/>
          </w:rPr>
          <w:t>,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37AA9" w14:textId="77777777" w:rsidR="0021050B" w:rsidRDefault="0021050B" w:rsidP="002C2450">
      <w:pPr>
        <w:spacing w:after="0" w:line="240" w:lineRule="auto"/>
      </w:pPr>
      <w:r>
        <w:separator/>
      </w:r>
    </w:p>
  </w:footnote>
  <w:footnote w:type="continuationSeparator" w:id="0">
    <w:p w14:paraId="027673F8" w14:textId="77777777" w:rsidR="0021050B" w:rsidRDefault="0021050B" w:rsidP="002C2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718BE"/>
    <w:multiLevelType w:val="hybridMultilevel"/>
    <w:tmpl w:val="CC789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C76FEF"/>
    <w:multiLevelType w:val="hybridMultilevel"/>
    <w:tmpl w:val="9F82DEA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3EF6DDC"/>
    <w:multiLevelType w:val="hybridMultilevel"/>
    <w:tmpl w:val="D200D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973833"/>
    <w:multiLevelType w:val="hybridMultilevel"/>
    <w:tmpl w:val="569406F8"/>
    <w:lvl w:ilvl="0" w:tplc="CEB8EFF2">
      <w:start w:val="1"/>
      <w:numFmt w:val="bullet"/>
      <w:lvlText w:val="•"/>
      <w:lvlJc w:val="left"/>
      <w:pPr>
        <w:tabs>
          <w:tab w:val="num" w:pos="720"/>
        </w:tabs>
        <w:ind w:left="720" w:hanging="360"/>
      </w:pPr>
      <w:rPr>
        <w:rFonts w:ascii="Arial" w:hAnsi="Arial" w:hint="default"/>
      </w:rPr>
    </w:lvl>
    <w:lvl w:ilvl="1" w:tplc="B9FA1EB4" w:tentative="1">
      <w:start w:val="1"/>
      <w:numFmt w:val="bullet"/>
      <w:lvlText w:val="•"/>
      <w:lvlJc w:val="left"/>
      <w:pPr>
        <w:tabs>
          <w:tab w:val="num" w:pos="1440"/>
        </w:tabs>
        <w:ind w:left="1440" w:hanging="360"/>
      </w:pPr>
      <w:rPr>
        <w:rFonts w:ascii="Arial" w:hAnsi="Arial" w:hint="default"/>
      </w:rPr>
    </w:lvl>
    <w:lvl w:ilvl="2" w:tplc="221022E8" w:tentative="1">
      <w:start w:val="1"/>
      <w:numFmt w:val="bullet"/>
      <w:lvlText w:val="•"/>
      <w:lvlJc w:val="left"/>
      <w:pPr>
        <w:tabs>
          <w:tab w:val="num" w:pos="2160"/>
        </w:tabs>
        <w:ind w:left="2160" w:hanging="360"/>
      </w:pPr>
      <w:rPr>
        <w:rFonts w:ascii="Arial" w:hAnsi="Arial" w:hint="default"/>
      </w:rPr>
    </w:lvl>
    <w:lvl w:ilvl="3" w:tplc="825A2BD6" w:tentative="1">
      <w:start w:val="1"/>
      <w:numFmt w:val="bullet"/>
      <w:lvlText w:val="•"/>
      <w:lvlJc w:val="left"/>
      <w:pPr>
        <w:tabs>
          <w:tab w:val="num" w:pos="2880"/>
        </w:tabs>
        <w:ind w:left="2880" w:hanging="360"/>
      </w:pPr>
      <w:rPr>
        <w:rFonts w:ascii="Arial" w:hAnsi="Arial" w:hint="default"/>
      </w:rPr>
    </w:lvl>
    <w:lvl w:ilvl="4" w:tplc="FEE05B6A" w:tentative="1">
      <w:start w:val="1"/>
      <w:numFmt w:val="bullet"/>
      <w:lvlText w:val="•"/>
      <w:lvlJc w:val="left"/>
      <w:pPr>
        <w:tabs>
          <w:tab w:val="num" w:pos="3600"/>
        </w:tabs>
        <w:ind w:left="3600" w:hanging="360"/>
      </w:pPr>
      <w:rPr>
        <w:rFonts w:ascii="Arial" w:hAnsi="Arial" w:hint="default"/>
      </w:rPr>
    </w:lvl>
    <w:lvl w:ilvl="5" w:tplc="8D187ECC" w:tentative="1">
      <w:start w:val="1"/>
      <w:numFmt w:val="bullet"/>
      <w:lvlText w:val="•"/>
      <w:lvlJc w:val="left"/>
      <w:pPr>
        <w:tabs>
          <w:tab w:val="num" w:pos="4320"/>
        </w:tabs>
        <w:ind w:left="4320" w:hanging="360"/>
      </w:pPr>
      <w:rPr>
        <w:rFonts w:ascii="Arial" w:hAnsi="Arial" w:hint="default"/>
      </w:rPr>
    </w:lvl>
    <w:lvl w:ilvl="6" w:tplc="B51EE3B0" w:tentative="1">
      <w:start w:val="1"/>
      <w:numFmt w:val="bullet"/>
      <w:lvlText w:val="•"/>
      <w:lvlJc w:val="left"/>
      <w:pPr>
        <w:tabs>
          <w:tab w:val="num" w:pos="5040"/>
        </w:tabs>
        <w:ind w:left="5040" w:hanging="360"/>
      </w:pPr>
      <w:rPr>
        <w:rFonts w:ascii="Arial" w:hAnsi="Arial" w:hint="default"/>
      </w:rPr>
    </w:lvl>
    <w:lvl w:ilvl="7" w:tplc="8E946164" w:tentative="1">
      <w:start w:val="1"/>
      <w:numFmt w:val="bullet"/>
      <w:lvlText w:val="•"/>
      <w:lvlJc w:val="left"/>
      <w:pPr>
        <w:tabs>
          <w:tab w:val="num" w:pos="5760"/>
        </w:tabs>
        <w:ind w:left="5760" w:hanging="360"/>
      </w:pPr>
      <w:rPr>
        <w:rFonts w:ascii="Arial" w:hAnsi="Arial" w:hint="default"/>
      </w:rPr>
    </w:lvl>
    <w:lvl w:ilvl="8" w:tplc="D39CAC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AE18F5"/>
    <w:multiLevelType w:val="hybridMultilevel"/>
    <w:tmpl w:val="14566D6E"/>
    <w:lvl w:ilvl="0" w:tplc="2B4C73A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724757"/>
    <w:multiLevelType w:val="hybridMultilevel"/>
    <w:tmpl w:val="7A58DF2A"/>
    <w:lvl w:ilvl="0" w:tplc="839A4D9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D943D4"/>
    <w:multiLevelType w:val="hybridMultilevel"/>
    <w:tmpl w:val="B7E2E86C"/>
    <w:lvl w:ilvl="0" w:tplc="1D56F6DC">
      <w:start w:val="1"/>
      <w:numFmt w:val="bullet"/>
      <w:lvlText w:val="•"/>
      <w:lvlJc w:val="left"/>
      <w:pPr>
        <w:tabs>
          <w:tab w:val="num" w:pos="720"/>
        </w:tabs>
        <w:ind w:left="720" w:hanging="360"/>
      </w:pPr>
      <w:rPr>
        <w:rFonts w:ascii="Arial" w:hAnsi="Arial" w:hint="default"/>
      </w:rPr>
    </w:lvl>
    <w:lvl w:ilvl="1" w:tplc="196A366C" w:tentative="1">
      <w:start w:val="1"/>
      <w:numFmt w:val="bullet"/>
      <w:lvlText w:val="•"/>
      <w:lvlJc w:val="left"/>
      <w:pPr>
        <w:tabs>
          <w:tab w:val="num" w:pos="1440"/>
        </w:tabs>
        <w:ind w:left="1440" w:hanging="360"/>
      </w:pPr>
      <w:rPr>
        <w:rFonts w:ascii="Arial" w:hAnsi="Arial" w:hint="default"/>
      </w:rPr>
    </w:lvl>
    <w:lvl w:ilvl="2" w:tplc="27EC015A" w:tentative="1">
      <w:start w:val="1"/>
      <w:numFmt w:val="bullet"/>
      <w:lvlText w:val="•"/>
      <w:lvlJc w:val="left"/>
      <w:pPr>
        <w:tabs>
          <w:tab w:val="num" w:pos="2160"/>
        </w:tabs>
        <w:ind w:left="2160" w:hanging="360"/>
      </w:pPr>
      <w:rPr>
        <w:rFonts w:ascii="Arial" w:hAnsi="Arial" w:hint="default"/>
      </w:rPr>
    </w:lvl>
    <w:lvl w:ilvl="3" w:tplc="55422EF2" w:tentative="1">
      <w:start w:val="1"/>
      <w:numFmt w:val="bullet"/>
      <w:lvlText w:val="•"/>
      <w:lvlJc w:val="left"/>
      <w:pPr>
        <w:tabs>
          <w:tab w:val="num" w:pos="2880"/>
        </w:tabs>
        <w:ind w:left="2880" w:hanging="360"/>
      </w:pPr>
      <w:rPr>
        <w:rFonts w:ascii="Arial" w:hAnsi="Arial" w:hint="default"/>
      </w:rPr>
    </w:lvl>
    <w:lvl w:ilvl="4" w:tplc="7C7AB4FC" w:tentative="1">
      <w:start w:val="1"/>
      <w:numFmt w:val="bullet"/>
      <w:lvlText w:val="•"/>
      <w:lvlJc w:val="left"/>
      <w:pPr>
        <w:tabs>
          <w:tab w:val="num" w:pos="3600"/>
        </w:tabs>
        <w:ind w:left="3600" w:hanging="360"/>
      </w:pPr>
      <w:rPr>
        <w:rFonts w:ascii="Arial" w:hAnsi="Arial" w:hint="default"/>
      </w:rPr>
    </w:lvl>
    <w:lvl w:ilvl="5" w:tplc="993AE4B6" w:tentative="1">
      <w:start w:val="1"/>
      <w:numFmt w:val="bullet"/>
      <w:lvlText w:val="•"/>
      <w:lvlJc w:val="left"/>
      <w:pPr>
        <w:tabs>
          <w:tab w:val="num" w:pos="4320"/>
        </w:tabs>
        <w:ind w:left="4320" w:hanging="360"/>
      </w:pPr>
      <w:rPr>
        <w:rFonts w:ascii="Arial" w:hAnsi="Arial" w:hint="default"/>
      </w:rPr>
    </w:lvl>
    <w:lvl w:ilvl="6" w:tplc="98C89B78" w:tentative="1">
      <w:start w:val="1"/>
      <w:numFmt w:val="bullet"/>
      <w:lvlText w:val="•"/>
      <w:lvlJc w:val="left"/>
      <w:pPr>
        <w:tabs>
          <w:tab w:val="num" w:pos="5040"/>
        </w:tabs>
        <w:ind w:left="5040" w:hanging="360"/>
      </w:pPr>
      <w:rPr>
        <w:rFonts w:ascii="Arial" w:hAnsi="Arial" w:hint="default"/>
      </w:rPr>
    </w:lvl>
    <w:lvl w:ilvl="7" w:tplc="E12A96C2" w:tentative="1">
      <w:start w:val="1"/>
      <w:numFmt w:val="bullet"/>
      <w:lvlText w:val="•"/>
      <w:lvlJc w:val="left"/>
      <w:pPr>
        <w:tabs>
          <w:tab w:val="num" w:pos="5760"/>
        </w:tabs>
        <w:ind w:left="5760" w:hanging="360"/>
      </w:pPr>
      <w:rPr>
        <w:rFonts w:ascii="Arial" w:hAnsi="Arial" w:hint="default"/>
      </w:rPr>
    </w:lvl>
    <w:lvl w:ilvl="8" w:tplc="F9223D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462CF"/>
    <w:multiLevelType w:val="hybridMultilevel"/>
    <w:tmpl w:val="E2C431A8"/>
    <w:lvl w:ilvl="0" w:tplc="73AC18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215A00"/>
    <w:multiLevelType w:val="hybridMultilevel"/>
    <w:tmpl w:val="548E4028"/>
    <w:lvl w:ilvl="0" w:tplc="73AC18E4">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7940389"/>
    <w:multiLevelType w:val="multilevel"/>
    <w:tmpl w:val="B20A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44D83"/>
    <w:multiLevelType w:val="hybridMultilevel"/>
    <w:tmpl w:val="C30C49B4"/>
    <w:lvl w:ilvl="0" w:tplc="EE8611EC">
      <w:start w:val="1"/>
      <w:numFmt w:val="bullet"/>
      <w:lvlText w:val=" "/>
      <w:lvlJc w:val="left"/>
      <w:pPr>
        <w:tabs>
          <w:tab w:val="num" w:pos="720"/>
        </w:tabs>
        <w:ind w:left="720" w:hanging="360"/>
      </w:pPr>
      <w:rPr>
        <w:rFonts w:ascii="Calibri" w:hAnsi="Calibri" w:hint="default"/>
      </w:rPr>
    </w:lvl>
    <w:lvl w:ilvl="1" w:tplc="DB3E9288" w:tentative="1">
      <w:start w:val="1"/>
      <w:numFmt w:val="bullet"/>
      <w:lvlText w:val=" "/>
      <w:lvlJc w:val="left"/>
      <w:pPr>
        <w:tabs>
          <w:tab w:val="num" w:pos="1440"/>
        </w:tabs>
        <w:ind w:left="1440" w:hanging="360"/>
      </w:pPr>
      <w:rPr>
        <w:rFonts w:ascii="Calibri" w:hAnsi="Calibri" w:hint="default"/>
      </w:rPr>
    </w:lvl>
    <w:lvl w:ilvl="2" w:tplc="DF2C2374" w:tentative="1">
      <w:start w:val="1"/>
      <w:numFmt w:val="bullet"/>
      <w:lvlText w:val=" "/>
      <w:lvlJc w:val="left"/>
      <w:pPr>
        <w:tabs>
          <w:tab w:val="num" w:pos="2160"/>
        </w:tabs>
        <w:ind w:left="2160" w:hanging="360"/>
      </w:pPr>
      <w:rPr>
        <w:rFonts w:ascii="Calibri" w:hAnsi="Calibri" w:hint="default"/>
      </w:rPr>
    </w:lvl>
    <w:lvl w:ilvl="3" w:tplc="9A564EE4" w:tentative="1">
      <w:start w:val="1"/>
      <w:numFmt w:val="bullet"/>
      <w:lvlText w:val=" "/>
      <w:lvlJc w:val="left"/>
      <w:pPr>
        <w:tabs>
          <w:tab w:val="num" w:pos="2880"/>
        </w:tabs>
        <w:ind w:left="2880" w:hanging="360"/>
      </w:pPr>
      <w:rPr>
        <w:rFonts w:ascii="Calibri" w:hAnsi="Calibri" w:hint="default"/>
      </w:rPr>
    </w:lvl>
    <w:lvl w:ilvl="4" w:tplc="F6501F96" w:tentative="1">
      <w:start w:val="1"/>
      <w:numFmt w:val="bullet"/>
      <w:lvlText w:val=" "/>
      <w:lvlJc w:val="left"/>
      <w:pPr>
        <w:tabs>
          <w:tab w:val="num" w:pos="3600"/>
        </w:tabs>
        <w:ind w:left="3600" w:hanging="360"/>
      </w:pPr>
      <w:rPr>
        <w:rFonts w:ascii="Calibri" w:hAnsi="Calibri" w:hint="default"/>
      </w:rPr>
    </w:lvl>
    <w:lvl w:ilvl="5" w:tplc="FFC85D4E" w:tentative="1">
      <w:start w:val="1"/>
      <w:numFmt w:val="bullet"/>
      <w:lvlText w:val=" "/>
      <w:lvlJc w:val="left"/>
      <w:pPr>
        <w:tabs>
          <w:tab w:val="num" w:pos="4320"/>
        </w:tabs>
        <w:ind w:left="4320" w:hanging="360"/>
      </w:pPr>
      <w:rPr>
        <w:rFonts w:ascii="Calibri" w:hAnsi="Calibri" w:hint="default"/>
      </w:rPr>
    </w:lvl>
    <w:lvl w:ilvl="6" w:tplc="CFBAAB26" w:tentative="1">
      <w:start w:val="1"/>
      <w:numFmt w:val="bullet"/>
      <w:lvlText w:val=" "/>
      <w:lvlJc w:val="left"/>
      <w:pPr>
        <w:tabs>
          <w:tab w:val="num" w:pos="5040"/>
        </w:tabs>
        <w:ind w:left="5040" w:hanging="360"/>
      </w:pPr>
      <w:rPr>
        <w:rFonts w:ascii="Calibri" w:hAnsi="Calibri" w:hint="default"/>
      </w:rPr>
    </w:lvl>
    <w:lvl w:ilvl="7" w:tplc="48CC1D10" w:tentative="1">
      <w:start w:val="1"/>
      <w:numFmt w:val="bullet"/>
      <w:lvlText w:val=" "/>
      <w:lvlJc w:val="left"/>
      <w:pPr>
        <w:tabs>
          <w:tab w:val="num" w:pos="5760"/>
        </w:tabs>
        <w:ind w:left="5760" w:hanging="360"/>
      </w:pPr>
      <w:rPr>
        <w:rFonts w:ascii="Calibri" w:hAnsi="Calibri" w:hint="default"/>
      </w:rPr>
    </w:lvl>
    <w:lvl w:ilvl="8" w:tplc="3CA609E6"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3529369B"/>
    <w:multiLevelType w:val="hybridMultilevel"/>
    <w:tmpl w:val="A6E4157C"/>
    <w:lvl w:ilvl="0" w:tplc="BE78BD6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C804B81"/>
    <w:multiLevelType w:val="hybridMultilevel"/>
    <w:tmpl w:val="BE823346"/>
    <w:lvl w:ilvl="0" w:tplc="57E2CECC">
      <w:start w:val="1"/>
      <w:numFmt w:val="bullet"/>
      <w:lvlText w:val="•"/>
      <w:lvlJc w:val="left"/>
      <w:pPr>
        <w:tabs>
          <w:tab w:val="num" w:pos="720"/>
        </w:tabs>
        <w:ind w:left="720" w:hanging="360"/>
      </w:pPr>
      <w:rPr>
        <w:rFonts w:ascii="Arial" w:hAnsi="Arial" w:hint="default"/>
      </w:rPr>
    </w:lvl>
    <w:lvl w:ilvl="1" w:tplc="DE784094" w:tentative="1">
      <w:start w:val="1"/>
      <w:numFmt w:val="bullet"/>
      <w:lvlText w:val="•"/>
      <w:lvlJc w:val="left"/>
      <w:pPr>
        <w:tabs>
          <w:tab w:val="num" w:pos="1440"/>
        </w:tabs>
        <w:ind w:left="1440" w:hanging="360"/>
      </w:pPr>
      <w:rPr>
        <w:rFonts w:ascii="Arial" w:hAnsi="Arial" w:hint="default"/>
      </w:rPr>
    </w:lvl>
    <w:lvl w:ilvl="2" w:tplc="FF4CD1D6" w:tentative="1">
      <w:start w:val="1"/>
      <w:numFmt w:val="bullet"/>
      <w:lvlText w:val="•"/>
      <w:lvlJc w:val="left"/>
      <w:pPr>
        <w:tabs>
          <w:tab w:val="num" w:pos="2160"/>
        </w:tabs>
        <w:ind w:left="2160" w:hanging="360"/>
      </w:pPr>
      <w:rPr>
        <w:rFonts w:ascii="Arial" w:hAnsi="Arial" w:hint="default"/>
      </w:rPr>
    </w:lvl>
    <w:lvl w:ilvl="3" w:tplc="7C926286" w:tentative="1">
      <w:start w:val="1"/>
      <w:numFmt w:val="bullet"/>
      <w:lvlText w:val="•"/>
      <w:lvlJc w:val="left"/>
      <w:pPr>
        <w:tabs>
          <w:tab w:val="num" w:pos="2880"/>
        </w:tabs>
        <w:ind w:left="2880" w:hanging="360"/>
      </w:pPr>
      <w:rPr>
        <w:rFonts w:ascii="Arial" w:hAnsi="Arial" w:hint="default"/>
      </w:rPr>
    </w:lvl>
    <w:lvl w:ilvl="4" w:tplc="4A5AB78A" w:tentative="1">
      <w:start w:val="1"/>
      <w:numFmt w:val="bullet"/>
      <w:lvlText w:val="•"/>
      <w:lvlJc w:val="left"/>
      <w:pPr>
        <w:tabs>
          <w:tab w:val="num" w:pos="3600"/>
        </w:tabs>
        <w:ind w:left="3600" w:hanging="360"/>
      </w:pPr>
      <w:rPr>
        <w:rFonts w:ascii="Arial" w:hAnsi="Arial" w:hint="default"/>
      </w:rPr>
    </w:lvl>
    <w:lvl w:ilvl="5" w:tplc="CBDEB01C" w:tentative="1">
      <w:start w:val="1"/>
      <w:numFmt w:val="bullet"/>
      <w:lvlText w:val="•"/>
      <w:lvlJc w:val="left"/>
      <w:pPr>
        <w:tabs>
          <w:tab w:val="num" w:pos="4320"/>
        </w:tabs>
        <w:ind w:left="4320" w:hanging="360"/>
      </w:pPr>
      <w:rPr>
        <w:rFonts w:ascii="Arial" w:hAnsi="Arial" w:hint="default"/>
      </w:rPr>
    </w:lvl>
    <w:lvl w:ilvl="6" w:tplc="A3DEE814" w:tentative="1">
      <w:start w:val="1"/>
      <w:numFmt w:val="bullet"/>
      <w:lvlText w:val="•"/>
      <w:lvlJc w:val="left"/>
      <w:pPr>
        <w:tabs>
          <w:tab w:val="num" w:pos="5040"/>
        </w:tabs>
        <w:ind w:left="5040" w:hanging="360"/>
      </w:pPr>
      <w:rPr>
        <w:rFonts w:ascii="Arial" w:hAnsi="Arial" w:hint="default"/>
      </w:rPr>
    </w:lvl>
    <w:lvl w:ilvl="7" w:tplc="E98887EE" w:tentative="1">
      <w:start w:val="1"/>
      <w:numFmt w:val="bullet"/>
      <w:lvlText w:val="•"/>
      <w:lvlJc w:val="left"/>
      <w:pPr>
        <w:tabs>
          <w:tab w:val="num" w:pos="5760"/>
        </w:tabs>
        <w:ind w:left="5760" w:hanging="360"/>
      </w:pPr>
      <w:rPr>
        <w:rFonts w:ascii="Arial" w:hAnsi="Arial" w:hint="default"/>
      </w:rPr>
    </w:lvl>
    <w:lvl w:ilvl="8" w:tplc="3924A5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6B4B74"/>
    <w:multiLevelType w:val="hybridMultilevel"/>
    <w:tmpl w:val="DFE26F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82400BD"/>
    <w:multiLevelType w:val="hybridMultilevel"/>
    <w:tmpl w:val="1638CB88"/>
    <w:lvl w:ilvl="0" w:tplc="DC9617F8">
      <w:start w:val="1"/>
      <w:numFmt w:val="bullet"/>
      <w:lvlText w:val=" "/>
      <w:lvlJc w:val="left"/>
      <w:pPr>
        <w:tabs>
          <w:tab w:val="num" w:pos="360"/>
        </w:tabs>
        <w:ind w:left="360" w:hanging="360"/>
      </w:pPr>
      <w:rPr>
        <w:rFonts w:ascii="Calibri" w:hAnsi="Calibri" w:hint="default"/>
      </w:rPr>
    </w:lvl>
    <w:lvl w:ilvl="1" w:tplc="E1064A02" w:tentative="1">
      <w:start w:val="1"/>
      <w:numFmt w:val="bullet"/>
      <w:lvlText w:val=" "/>
      <w:lvlJc w:val="left"/>
      <w:pPr>
        <w:tabs>
          <w:tab w:val="num" w:pos="1080"/>
        </w:tabs>
        <w:ind w:left="1080" w:hanging="360"/>
      </w:pPr>
      <w:rPr>
        <w:rFonts w:ascii="Calibri" w:hAnsi="Calibri" w:hint="default"/>
      </w:rPr>
    </w:lvl>
    <w:lvl w:ilvl="2" w:tplc="7C6EFD0A" w:tentative="1">
      <w:start w:val="1"/>
      <w:numFmt w:val="bullet"/>
      <w:lvlText w:val=" "/>
      <w:lvlJc w:val="left"/>
      <w:pPr>
        <w:tabs>
          <w:tab w:val="num" w:pos="1800"/>
        </w:tabs>
        <w:ind w:left="1800" w:hanging="360"/>
      </w:pPr>
      <w:rPr>
        <w:rFonts w:ascii="Calibri" w:hAnsi="Calibri" w:hint="default"/>
      </w:rPr>
    </w:lvl>
    <w:lvl w:ilvl="3" w:tplc="356CD458" w:tentative="1">
      <w:start w:val="1"/>
      <w:numFmt w:val="bullet"/>
      <w:lvlText w:val=" "/>
      <w:lvlJc w:val="left"/>
      <w:pPr>
        <w:tabs>
          <w:tab w:val="num" w:pos="2520"/>
        </w:tabs>
        <w:ind w:left="2520" w:hanging="360"/>
      </w:pPr>
      <w:rPr>
        <w:rFonts w:ascii="Calibri" w:hAnsi="Calibri" w:hint="default"/>
      </w:rPr>
    </w:lvl>
    <w:lvl w:ilvl="4" w:tplc="D0223902" w:tentative="1">
      <w:start w:val="1"/>
      <w:numFmt w:val="bullet"/>
      <w:lvlText w:val=" "/>
      <w:lvlJc w:val="left"/>
      <w:pPr>
        <w:tabs>
          <w:tab w:val="num" w:pos="3240"/>
        </w:tabs>
        <w:ind w:left="3240" w:hanging="360"/>
      </w:pPr>
      <w:rPr>
        <w:rFonts w:ascii="Calibri" w:hAnsi="Calibri" w:hint="default"/>
      </w:rPr>
    </w:lvl>
    <w:lvl w:ilvl="5" w:tplc="88383F42" w:tentative="1">
      <w:start w:val="1"/>
      <w:numFmt w:val="bullet"/>
      <w:lvlText w:val=" "/>
      <w:lvlJc w:val="left"/>
      <w:pPr>
        <w:tabs>
          <w:tab w:val="num" w:pos="3960"/>
        </w:tabs>
        <w:ind w:left="3960" w:hanging="360"/>
      </w:pPr>
      <w:rPr>
        <w:rFonts w:ascii="Calibri" w:hAnsi="Calibri" w:hint="default"/>
      </w:rPr>
    </w:lvl>
    <w:lvl w:ilvl="6" w:tplc="1A14D28C" w:tentative="1">
      <w:start w:val="1"/>
      <w:numFmt w:val="bullet"/>
      <w:lvlText w:val=" "/>
      <w:lvlJc w:val="left"/>
      <w:pPr>
        <w:tabs>
          <w:tab w:val="num" w:pos="4680"/>
        </w:tabs>
        <w:ind w:left="4680" w:hanging="360"/>
      </w:pPr>
      <w:rPr>
        <w:rFonts w:ascii="Calibri" w:hAnsi="Calibri" w:hint="default"/>
      </w:rPr>
    </w:lvl>
    <w:lvl w:ilvl="7" w:tplc="D104375C" w:tentative="1">
      <w:start w:val="1"/>
      <w:numFmt w:val="bullet"/>
      <w:lvlText w:val=" "/>
      <w:lvlJc w:val="left"/>
      <w:pPr>
        <w:tabs>
          <w:tab w:val="num" w:pos="5400"/>
        </w:tabs>
        <w:ind w:left="5400" w:hanging="360"/>
      </w:pPr>
      <w:rPr>
        <w:rFonts w:ascii="Calibri" w:hAnsi="Calibri" w:hint="default"/>
      </w:rPr>
    </w:lvl>
    <w:lvl w:ilvl="8" w:tplc="51BC1AA0" w:tentative="1">
      <w:start w:val="1"/>
      <w:numFmt w:val="bullet"/>
      <w:lvlText w:val=" "/>
      <w:lvlJc w:val="left"/>
      <w:pPr>
        <w:tabs>
          <w:tab w:val="num" w:pos="6120"/>
        </w:tabs>
        <w:ind w:left="6120" w:hanging="360"/>
      </w:pPr>
      <w:rPr>
        <w:rFonts w:ascii="Calibri" w:hAnsi="Calibri" w:hint="default"/>
      </w:rPr>
    </w:lvl>
  </w:abstractNum>
  <w:abstractNum w:abstractNumId="15" w15:restartNumberingAfterBreak="0">
    <w:nsid w:val="6C496B65"/>
    <w:multiLevelType w:val="hybridMultilevel"/>
    <w:tmpl w:val="018492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50E6FBE"/>
    <w:multiLevelType w:val="hybridMultilevel"/>
    <w:tmpl w:val="BF640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3"/>
  </w:num>
  <w:num w:numId="5">
    <w:abstractNumId w:val="1"/>
  </w:num>
  <w:num w:numId="6">
    <w:abstractNumId w:val="8"/>
  </w:num>
  <w:num w:numId="7">
    <w:abstractNumId w:val="15"/>
  </w:num>
  <w:num w:numId="8">
    <w:abstractNumId w:val="4"/>
  </w:num>
  <w:num w:numId="9">
    <w:abstractNumId w:val="11"/>
  </w:num>
  <w:num w:numId="10">
    <w:abstractNumId w:val="9"/>
  </w:num>
  <w:num w:numId="11">
    <w:abstractNumId w:val="14"/>
  </w:num>
  <w:num w:numId="12">
    <w:abstractNumId w:val="10"/>
  </w:num>
  <w:num w:numId="13">
    <w:abstractNumId w:val="12"/>
  </w:num>
  <w:num w:numId="14">
    <w:abstractNumId w:val="6"/>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324"/>
    <w:rsid w:val="000321DB"/>
    <w:rsid w:val="000944AA"/>
    <w:rsid w:val="000A4153"/>
    <w:rsid w:val="001474F3"/>
    <w:rsid w:val="00207606"/>
    <w:rsid w:val="0021050B"/>
    <w:rsid w:val="00227BA1"/>
    <w:rsid w:val="002425B1"/>
    <w:rsid w:val="002450CD"/>
    <w:rsid w:val="00250B5C"/>
    <w:rsid w:val="00251A40"/>
    <w:rsid w:val="00280FFD"/>
    <w:rsid w:val="002B26EC"/>
    <w:rsid w:val="002C2450"/>
    <w:rsid w:val="00337C3A"/>
    <w:rsid w:val="00356E43"/>
    <w:rsid w:val="003A19D6"/>
    <w:rsid w:val="003A5632"/>
    <w:rsid w:val="003E3E6B"/>
    <w:rsid w:val="0049623F"/>
    <w:rsid w:val="00496EE1"/>
    <w:rsid w:val="004A3324"/>
    <w:rsid w:val="004B0F34"/>
    <w:rsid w:val="004C6697"/>
    <w:rsid w:val="004E0010"/>
    <w:rsid w:val="00500BEE"/>
    <w:rsid w:val="0052422F"/>
    <w:rsid w:val="0054058D"/>
    <w:rsid w:val="00553D3F"/>
    <w:rsid w:val="00576ADA"/>
    <w:rsid w:val="00594FA1"/>
    <w:rsid w:val="00612ADE"/>
    <w:rsid w:val="00623101"/>
    <w:rsid w:val="00683A00"/>
    <w:rsid w:val="006C34AA"/>
    <w:rsid w:val="006E75F7"/>
    <w:rsid w:val="00753AD5"/>
    <w:rsid w:val="0076627D"/>
    <w:rsid w:val="0079419F"/>
    <w:rsid w:val="007D0EC6"/>
    <w:rsid w:val="00820C03"/>
    <w:rsid w:val="00830DBE"/>
    <w:rsid w:val="00833F9F"/>
    <w:rsid w:val="00882595"/>
    <w:rsid w:val="008F1355"/>
    <w:rsid w:val="00942BFA"/>
    <w:rsid w:val="009861AE"/>
    <w:rsid w:val="009B06E6"/>
    <w:rsid w:val="009E20BD"/>
    <w:rsid w:val="009E460B"/>
    <w:rsid w:val="00A333CE"/>
    <w:rsid w:val="00A53262"/>
    <w:rsid w:val="00AD6FDC"/>
    <w:rsid w:val="00AE27C9"/>
    <w:rsid w:val="00B8342A"/>
    <w:rsid w:val="00B9523E"/>
    <w:rsid w:val="00BA5865"/>
    <w:rsid w:val="00BD7B09"/>
    <w:rsid w:val="00BE2800"/>
    <w:rsid w:val="00BF5402"/>
    <w:rsid w:val="00C34E25"/>
    <w:rsid w:val="00C47257"/>
    <w:rsid w:val="00C811FC"/>
    <w:rsid w:val="00C84B1A"/>
    <w:rsid w:val="00CC5EDB"/>
    <w:rsid w:val="00CE2AB0"/>
    <w:rsid w:val="00DE2352"/>
    <w:rsid w:val="00DE5F04"/>
    <w:rsid w:val="00E478FE"/>
    <w:rsid w:val="00E5230F"/>
    <w:rsid w:val="00EB7A87"/>
    <w:rsid w:val="00EF32D3"/>
    <w:rsid w:val="00F45466"/>
    <w:rsid w:val="00FA5CB3"/>
    <w:rsid w:val="00FE5E96"/>
    <w:rsid w:val="00FF14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00FC"/>
  <w15:chartTrackingRefBased/>
  <w15:docId w15:val="{91A2636C-3B66-4444-88FB-C3AAC713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4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19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24"/>
    <w:pPr>
      <w:ind w:left="720"/>
      <w:contextualSpacing/>
    </w:pPr>
  </w:style>
  <w:style w:type="paragraph" w:styleId="BalloonText">
    <w:name w:val="Balloon Text"/>
    <w:basedOn w:val="Normal"/>
    <w:link w:val="BalloonTextChar"/>
    <w:uiPriority w:val="99"/>
    <w:semiHidden/>
    <w:unhideWhenUsed/>
    <w:rsid w:val="00882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595"/>
    <w:rPr>
      <w:rFonts w:ascii="Segoe UI" w:hAnsi="Segoe UI" w:cs="Segoe UI"/>
      <w:sz w:val="18"/>
      <w:szCs w:val="18"/>
    </w:rPr>
  </w:style>
  <w:style w:type="character" w:styleId="CommentReference">
    <w:name w:val="annotation reference"/>
    <w:basedOn w:val="DefaultParagraphFont"/>
    <w:uiPriority w:val="99"/>
    <w:semiHidden/>
    <w:unhideWhenUsed/>
    <w:rsid w:val="00496EE1"/>
    <w:rPr>
      <w:sz w:val="16"/>
      <w:szCs w:val="16"/>
    </w:rPr>
  </w:style>
  <w:style w:type="paragraph" w:styleId="CommentText">
    <w:name w:val="annotation text"/>
    <w:basedOn w:val="Normal"/>
    <w:link w:val="CommentTextChar"/>
    <w:uiPriority w:val="99"/>
    <w:semiHidden/>
    <w:unhideWhenUsed/>
    <w:rsid w:val="00496EE1"/>
    <w:pPr>
      <w:spacing w:line="240" w:lineRule="auto"/>
    </w:pPr>
    <w:rPr>
      <w:sz w:val="20"/>
      <w:szCs w:val="20"/>
    </w:rPr>
  </w:style>
  <w:style w:type="character" w:customStyle="1" w:styleId="CommentTextChar">
    <w:name w:val="Comment Text Char"/>
    <w:basedOn w:val="DefaultParagraphFont"/>
    <w:link w:val="CommentText"/>
    <w:uiPriority w:val="99"/>
    <w:semiHidden/>
    <w:rsid w:val="00496EE1"/>
    <w:rPr>
      <w:sz w:val="20"/>
      <w:szCs w:val="20"/>
    </w:rPr>
  </w:style>
  <w:style w:type="paragraph" w:styleId="CommentSubject">
    <w:name w:val="annotation subject"/>
    <w:basedOn w:val="CommentText"/>
    <w:next w:val="CommentText"/>
    <w:link w:val="CommentSubjectChar"/>
    <w:uiPriority w:val="99"/>
    <w:semiHidden/>
    <w:unhideWhenUsed/>
    <w:rsid w:val="00496EE1"/>
    <w:rPr>
      <w:b/>
      <w:bCs/>
    </w:rPr>
  </w:style>
  <w:style w:type="character" w:customStyle="1" w:styleId="CommentSubjectChar">
    <w:name w:val="Comment Subject Char"/>
    <w:basedOn w:val="CommentTextChar"/>
    <w:link w:val="CommentSubject"/>
    <w:uiPriority w:val="99"/>
    <w:semiHidden/>
    <w:rsid w:val="00496EE1"/>
    <w:rPr>
      <w:b/>
      <w:bCs/>
      <w:sz w:val="20"/>
      <w:szCs w:val="20"/>
    </w:rPr>
  </w:style>
  <w:style w:type="character" w:customStyle="1" w:styleId="Heading2Char">
    <w:name w:val="Heading 2 Char"/>
    <w:basedOn w:val="DefaultParagraphFont"/>
    <w:link w:val="Heading2"/>
    <w:uiPriority w:val="9"/>
    <w:rsid w:val="003A19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B26EC"/>
    <w:rPr>
      <w:color w:val="0563C1" w:themeColor="hyperlink"/>
      <w:u w:val="single"/>
    </w:rPr>
  </w:style>
  <w:style w:type="character" w:customStyle="1" w:styleId="UnresolvedMention1">
    <w:name w:val="Unresolved Mention1"/>
    <w:basedOn w:val="DefaultParagraphFont"/>
    <w:uiPriority w:val="99"/>
    <w:semiHidden/>
    <w:unhideWhenUsed/>
    <w:rsid w:val="002B26EC"/>
    <w:rPr>
      <w:color w:val="605E5C"/>
      <w:shd w:val="clear" w:color="auto" w:fill="E1DFDD"/>
    </w:rPr>
  </w:style>
  <w:style w:type="character" w:customStyle="1" w:styleId="Heading1Char">
    <w:name w:val="Heading 1 Char"/>
    <w:basedOn w:val="DefaultParagraphFont"/>
    <w:link w:val="Heading1"/>
    <w:uiPriority w:val="9"/>
    <w:rsid w:val="0052422F"/>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A5865"/>
    <w:rPr>
      <w:color w:val="954F72" w:themeColor="followedHyperlink"/>
      <w:u w:val="single"/>
    </w:rPr>
  </w:style>
  <w:style w:type="character" w:customStyle="1" w:styleId="jsgrdq">
    <w:name w:val="jsgrdq"/>
    <w:basedOn w:val="DefaultParagraphFont"/>
    <w:rsid w:val="002C2450"/>
  </w:style>
  <w:style w:type="character" w:styleId="Strong">
    <w:name w:val="Strong"/>
    <w:basedOn w:val="DefaultParagraphFont"/>
    <w:uiPriority w:val="22"/>
    <w:qFormat/>
    <w:rsid w:val="002C2450"/>
    <w:rPr>
      <w:b/>
      <w:bCs/>
    </w:rPr>
  </w:style>
  <w:style w:type="character" w:styleId="Emphasis">
    <w:name w:val="Emphasis"/>
    <w:basedOn w:val="DefaultParagraphFont"/>
    <w:uiPriority w:val="20"/>
    <w:qFormat/>
    <w:rsid w:val="002C2450"/>
    <w:rPr>
      <w:i/>
      <w:iCs/>
    </w:rPr>
  </w:style>
  <w:style w:type="paragraph" w:styleId="Header">
    <w:name w:val="header"/>
    <w:basedOn w:val="Normal"/>
    <w:link w:val="HeaderChar"/>
    <w:uiPriority w:val="99"/>
    <w:unhideWhenUsed/>
    <w:rsid w:val="002C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450"/>
  </w:style>
  <w:style w:type="paragraph" w:styleId="Footer">
    <w:name w:val="footer"/>
    <w:basedOn w:val="Normal"/>
    <w:link w:val="FooterChar"/>
    <w:uiPriority w:val="99"/>
    <w:unhideWhenUsed/>
    <w:rsid w:val="002C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450"/>
  </w:style>
  <w:style w:type="character" w:styleId="UnresolvedMention">
    <w:name w:val="Unresolved Mention"/>
    <w:basedOn w:val="DefaultParagraphFont"/>
    <w:uiPriority w:val="99"/>
    <w:semiHidden/>
    <w:unhideWhenUsed/>
    <w:rsid w:val="00245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4419">
      <w:bodyDiv w:val="1"/>
      <w:marLeft w:val="0"/>
      <w:marRight w:val="0"/>
      <w:marTop w:val="0"/>
      <w:marBottom w:val="0"/>
      <w:divBdr>
        <w:top w:val="none" w:sz="0" w:space="0" w:color="auto"/>
        <w:left w:val="none" w:sz="0" w:space="0" w:color="auto"/>
        <w:bottom w:val="none" w:sz="0" w:space="0" w:color="auto"/>
        <w:right w:val="none" w:sz="0" w:space="0" w:color="auto"/>
      </w:divBdr>
      <w:divsChild>
        <w:div w:id="1642999463">
          <w:marLeft w:val="360"/>
          <w:marRight w:val="0"/>
          <w:marTop w:val="200"/>
          <w:marBottom w:val="0"/>
          <w:divBdr>
            <w:top w:val="none" w:sz="0" w:space="0" w:color="auto"/>
            <w:left w:val="none" w:sz="0" w:space="0" w:color="auto"/>
            <w:bottom w:val="none" w:sz="0" w:space="0" w:color="auto"/>
            <w:right w:val="none" w:sz="0" w:space="0" w:color="auto"/>
          </w:divBdr>
        </w:div>
        <w:div w:id="1601062049">
          <w:marLeft w:val="360"/>
          <w:marRight w:val="0"/>
          <w:marTop w:val="200"/>
          <w:marBottom w:val="0"/>
          <w:divBdr>
            <w:top w:val="none" w:sz="0" w:space="0" w:color="auto"/>
            <w:left w:val="none" w:sz="0" w:space="0" w:color="auto"/>
            <w:bottom w:val="none" w:sz="0" w:space="0" w:color="auto"/>
            <w:right w:val="none" w:sz="0" w:space="0" w:color="auto"/>
          </w:divBdr>
        </w:div>
      </w:divsChild>
    </w:div>
    <w:div w:id="111292006">
      <w:bodyDiv w:val="1"/>
      <w:marLeft w:val="0"/>
      <w:marRight w:val="0"/>
      <w:marTop w:val="0"/>
      <w:marBottom w:val="0"/>
      <w:divBdr>
        <w:top w:val="none" w:sz="0" w:space="0" w:color="auto"/>
        <w:left w:val="none" w:sz="0" w:space="0" w:color="auto"/>
        <w:bottom w:val="none" w:sz="0" w:space="0" w:color="auto"/>
        <w:right w:val="none" w:sz="0" w:space="0" w:color="auto"/>
      </w:divBdr>
    </w:div>
    <w:div w:id="135101507">
      <w:bodyDiv w:val="1"/>
      <w:marLeft w:val="0"/>
      <w:marRight w:val="0"/>
      <w:marTop w:val="0"/>
      <w:marBottom w:val="0"/>
      <w:divBdr>
        <w:top w:val="none" w:sz="0" w:space="0" w:color="auto"/>
        <w:left w:val="none" w:sz="0" w:space="0" w:color="auto"/>
        <w:bottom w:val="none" w:sz="0" w:space="0" w:color="auto"/>
        <w:right w:val="none" w:sz="0" w:space="0" w:color="auto"/>
      </w:divBdr>
    </w:div>
    <w:div w:id="491532447">
      <w:bodyDiv w:val="1"/>
      <w:marLeft w:val="0"/>
      <w:marRight w:val="0"/>
      <w:marTop w:val="0"/>
      <w:marBottom w:val="0"/>
      <w:divBdr>
        <w:top w:val="none" w:sz="0" w:space="0" w:color="auto"/>
        <w:left w:val="none" w:sz="0" w:space="0" w:color="auto"/>
        <w:bottom w:val="none" w:sz="0" w:space="0" w:color="auto"/>
        <w:right w:val="none" w:sz="0" w:space="0" w:color="auto"/>
      </w:divBdr>
    </w:div>
    <w:div w:id="723337777">
      <w:bodyDiv w:val="1"/>
      <w:marLeft w:val="0"/>
      <w:marRight w:val="0"/>
      <w:marTop w:val="0"/>
      <w:marBottom w:val="0"/>
      <w:divBdr>
        <w:top w:val="none" w:sz="0" w:space="0" w:color="auto"/>
        <w:left w:val="none" w:sz="0" w:space="0" w:color="auto"/>
        <w:bottom w:val="none" w:sz="0" w:space="0" w:color="auto"/>
        <w:right w:val="none" w:sz="0" w:space="0" w:color="auto"/>
      </w:divBdr>
      <w:divsChild>
        <w:div w:id="297996277">
          <w:marLeft w:val="360"/>
          <w:marRight w:val="0"/>
          <w:marTop w:val="200"/>
          <w:marBottom w:val="0"/>
          <w:divBdr>
            <w:top w:val="none" w:sz="0" w:space="0" w:color="auto"/>
            <w:left w:val="none" w:sz="0" w:space="0" w:color="auto"/>
            <w:bottom w:val="none" w:sz="0" w:space="0" w:color="auto"/>
            <w:right w:val="none" w:sz="0" w:space="0" w:color="auto"/>
          </w:divBdr>
        </w:div>
      </w:divsChild>
    </w:div>
    <w:div w:id="816071098">
      <w:bodyDiv w:val="1"/>
      <w:marLeft w:val="0"/>
      <w:marRight w:val="0"/>
      <w:marTop w:val="0"/>
      <w:marBottom w:val="0"/>
      <w:divBdr>
        <w:top w:val="none" w:sz="0" w:space="0" w:color="auto"/>
        <w:left w:val="none" w:sz="0" w:space="0" w:color="auto"/>
        <w:bottom w:val="none" w:sz="0" w:space="0" w:color="auto"/>
        <w:right w:val="none" w:sz="0" w:space="0" w:color="auto"/>
      </w:divBdr>
    </w:div>
    <w:div w:id="1070031923">
      <w:bodyDiv w:val="1"/>
      <w:marLeft w:val="0"/>
      <w:marRight w:val="0"/>
      <w:marTop w:val="0"/>
      <w:marBottom w:val="0"/>
      <w:divBdr>
        <w:top w:val="none" w:sz="0" w:space="0" w:color="auto"/>
        <w:left w:val="none" w:sz="0" w:space="0" w:color="auto"/>
        <w:bottom w:val="none" w:sz="0" w:space="0" w:color="auto"/>
        <w:right w:val="none" w:sz="0" w:space="0" w:color="auto"/>
      </w:divBdr>
      <w:divsChild>
        <w:div w:id="1131052649">
          <w:marLeft w:val="274"/>
          <w:marRight w:val="0"/>
          <w:marTop w:val="0"/>
          <w:marBottom w:val="0"/>
          <w:divBdr>
            <w:top w:val="none" w:sz="0" w:space="0" w:color="auto"/>
            <w:left w:val="none" w:sz="0" w:space="0" w:color="auto"/>
            <w:bottom w:val="none" w:sz="0" w:space="0" w:color="auto"/>
            <w:right w:val="none" w:sz="0" w:space="0" w:color="auto"/>
          </w:divBdr>
        </w:div>
        <w:div w:id="144862615">
          <w:marLeft w:val="274"/>
          <w:marRight w:val="0"/>
          <w:marTop w:val="0"/>
          <w:marBottom w:val="0"/>
          <w:divBdr>
            <w:top w:val="none" w:sz="0" w:space="0" w:color="auto"/>
            <w:left w:val="none" w:sz="0" w:space="0" w:color="auto"/>
            <w:bottom w:val="none" w:sz="0" w:space="0" w:color="auto"/>
            <w:right w:val="none" w:sz="0" w:space="0" w:color="auto"/>
          </w:divBdr>
        </w:div>
        <w:div w:id="1839997704">
          <w:marLeft w:val="274"/>
          <w:marRight w:val="0"/>
          <w:marTop w:val="0"/>
          <w:marBottom w:val="0"/>
          <w:divBdr>
            <w:top w:val="none" w:sz="0" w:space="0" w:color="auto"/>
            <w:left w:val="none" w:sz="0" w:space="0" w:color="auto"/>
            <w:bottom w:val="none" w:sz="0" w:space="0" w:color="auto"/>
            <w:right w:val="none" w:sz="0" w:space="0" w:color="auto"/>
          </w:divBdr>
        </w:div>
        <w:div w:id="1270699599">
          <w:marLeft w:val="274"/>
          <w:marRight w:val="0"/>
          <w:marTop w:val="0"/>
          <w:marBottom w:val="0"/>
          <w:divBdr>
            <w:top w:val="none" w:sz="0" w:space="0" w:color="auto"/>
            <w:left w:val="none" w:sz="0" w:space="0" w:color="auto"/>
            <w:bottom w:val="none" w:sz="0" w:space="0" w:color="auto"/>
            <w:right w:val="none" w:sz="0" w:space="0" w:color="auto"/>
          </w:divBdr>
        </w:div>
      </w:divsChild>
    </w:div>
    <w:div w:id="173342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dprn.ca/wp-content/uploads/2021/05/Changing-Circumstances-Surrounding-Opioid-Related-Deaths.pdf" TargetMode="External"/><Relationship Id="rId18" Type="http://schemas.openxmlformats.org/officeDocument/2006/relationships/hyperlink" Target="https://vimeo.com/425940094" TargetMode="External"/><Relationship Id="rId26" Type="http://schemas.openxmlformats.org/officeDocument/2006/relationships/hyperlink" Target="https://harmreductionto.ca/decriminilization-legalization"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rism.ca/wp-content/uploads/2020/06/CRISM-Guidance-Supporting-People-Who-Use-Substances-in-Emergency-Shelter-Settings-V1.pdf" TargetMode="External"/><Relationship Id="rId34" Type="http://schemas.openxmlformats.org/officeDocument/2006/relationships/hyperlink" Target="https://www.publichealthontario.ca/en/data-and-analysis/substance-use/interactive-opioid-tool" TargetMode="External"/><Relationship Id="rId7" Type="http://schemas.openxmlformats.org/officeDocument/2006/relationships/settings" Target="settings.xml"/><Relationship Id="rId12" Type="http://schemas.openxmlformats.org/officeDocument/2006/relationships/hyperlink" Target="https://www1.publichealthgreybruce.on.ca/Portals/0/Topics/AlcoholandDrugs/Harm%20Reduction/Grey%20Bruce%20Opioid%20Response%20Plan.pdf?ver=2020-01-23-153710-693" TargetMode="External"/><Relationship Id="rId17" Type="http://schemas.openxmlformats.org/officeDocument/2006/relationships/hyperlink" Target="https://readpassage.com/legalizing-all-drugs-is-the-right-prescription-for-canada/" TargetMode="External"/><Relationship Id="rId25" Type="http://schemas.openxmlformats.org/officeDocument/2006/relationships/hyperlink" Target="https://www.google.com/url?q=https://bit.ly/3dR3b8m&amp;sa=D&amp;source=editors&amp;ust=1618319801564000&amp;usg=AOvVaw2Eu8K_7WmE8PJOSll2uZuX" TargetMode="External"/><Relationship Id="rId33" Type="http://schemas.openxmlformats.org/officeDocument/2006/relationships/hyperlink" Target="https://www.publichealthontario.ca/en/data-and-analysis/substance-use/interactive-opioid-too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aws-lois.justice.gc.ca/eng/acts/c-38.8/page-1.html" TargetMode="External"/><Relationship Id="rId20" Type="http://schemas.openxmlformats.org/officeDocument/2006/relationships/hyperlink" Target="https://crism.ca/wp-content/uploads/2021/02/Supporting-people-who-use-substances-in-acute-care-settings-during-the-COVID-19-pandemic-V2-18-Feb-2021.pdf" TargetMode="External"/><Relationship Id="rId29" Type="http://schemas.openxmlformats.org/officeDocument/2006/relationships/hyperlink" Target="https://www.catie.ca/en/positiveside/spring-2020/lessons-not-learn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ugstrategy.org/wp-content/uploads/2021/06/Through-the-Lens-of-Lived-Experience.pdf" TargetMode="External"/><Relationship Id="rId24" Type="http://schemas.openxmlformats.org/officeDocument/2006/relationships/hyperlink" Target="https://www.ontario.ca/page/get-naloxone-kits-free" TargetMode="External"/><Relationship Id="rId32" Type="http://schemas.openxmlformats.org/officeDocument/2006/relationships/hyperlink" Target="https://health-infobase.canada.ca/src/doc/SRHD/UpdateDeathsMarch2021.pdf" TargetMode="External"/><Relationship Id="rId37" Type="http://schemas.openxmlformats.org/officeDocument/2006/relationships/hyperlink" Target="https://www.oacp.ca/en/news/oacp-statement-decriminalization-for-simple-possession-of-illicit-drugs.aspx"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ntariobigcitymayors.ca/lwdcms/doc-view.php?module=news&amp;module_id=747&amp;doc_name=doc" TargetMode="External"/><Relationship Id="rId23" Type="http://schemas.openxmlformats.org/officeDocument/2006/relationships/hyperlink" Target="https://docs.google.com/document/d/1qCAHM3hILgiWYnDbal5wL482XPLtavPQyP7ovU_OWBE/edit" TargetMode="External"/><Relationship Id="rId28" Type="http://schemas.openxmlformats.org/officeDocument/2006/relationships/hyperlink" Target="https://www.catie.ca/en/pif/spring-2021/safe-supply-what-it-and-what-happening-canada" TargetMode="External"/><Relationship Id="rId36" Type="http://schemas.openxmlformats.org/officeDocument/2006/relationships/hyperlink" Target="https://drugchecking.cdpe.org/wp-content/uploads/dlm_uploads/2021/04/Toronto-DCS-Report_2020.pdf" TargetMode="External"/><Relationship Id="rId10" Type="http://schemas.openxmlformats.org/officeDocument/2006/relationships/endnotes" Target="endnotes.xml"/><Relationship Id="rId19" Type="http://schemas.openxmlformats.org/officeDocument/2006/relationships/hyperlink" Target="https://ontario.cmha.ca/harm-reduction/" TargetMode="External"/><Relationship Id="rId31" Type="http://schemas.openxmlformats.org/officeDocument/2006/relationships/hyperlink" Target="https://health-infobase.canada.ca/src/doc/SRHD/UpdateDeathsMarch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o.on.ca/sites/default/files/assets/DOCUMENTS/Reports/2019/AddressingtheOpioidOverdoseEmergencyinOntario20190904.pdf" TargetMode="External"/><Relationship Id="rId22" Type="http://schemas.openxmlformats.org/officeDocument/2006/relationships/hyperlink" Target="https://www.eenet.ca/resource/promising-practice-safer-opioid-supply" TargetMode="External"/><Relationship Id="rId27" Type="http://schemas.openxmlformats.org/officeDocument/2006/relationships/hyperlink" Target="https://www.catie.ca/en/pif/spring-2021/safe-supply-what-it-and-what-happening-canada" TargetMode="External"/><Relationship Id="rId30" Type="http://schemas.openxmlformats.org/officeDocument/2006/relationships/hyperlink" Target="https://www.pivotlegal.org/scs_ops_map" TargetMode="External"/><Relationship Id="rId35" Type="http://schemas.openxmlformats.org/officeDocument/2006/relationships/hyperlink" Target="https://docs.google.com/document/d/18yiQ0G7EWsyEOrpNYDvCfX205kV9UDlx4VEqGqS-rL0/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C72A6D39A5C4D966BA157A814B56A" ma:contentTypeVersion="" ma:contentTypeDescription="Create a new document." ma:contentTypeScope="" ma:versionID="f1c05843ceef18203a3672d1d7cf0d12">
  <xsd:schema xmlns:xsd="http://www.w3.org/2001/XMLSchema" xmlns:xs="http://www.w3.org/2001/XMLSchema" xmlns:p="http://schemas.microsoft.com/office/2006/metadata/properties" targetNamespace="http://schemas.microsoft.com/office/2006/metadata/properties" ma:root="true" ma:fieldsID="6c3d1c4bbbaeb45defbba4083f7195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728DF-9AE5-4610-8746-4219DEBAD8EF}">
  <ds:schemaRefs>
    <ds:schemaRef ds:uri="http://schemas.openxmlformats.org/officeDocument/2006/bibliography"/>
  </ds:schemaRefs>
</ds:datastoreItem>
</file>

<file path=customXml/itemProps2.xml><?xml version="1.0" encoding="utf-8"?>
<ds:datastoreItem xmlns:ds="http://schemas.openxmlformats.org/officeDocument/2006/customXml" ds:itemID="{530465D6-2952-4D28-BF2C-719C9E283E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5458F1-CAA8-444A-AB2C-6F7285AF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E47F9B-5E91-4BF1-B3C5-AFAB93486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GBHU</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Mighton</dc:creator>
  <cp:keywords/>
  <dc:description/>
  <cp:lastModifiedBy>Govier, Alison</cp:lastModifiedBy>
  <cp:revision>2</cp:revision>
  <dcterms:created xsi:type="dcterms:W3CDTF">2021-07-13T14:53:00Z</dcterms:created>
  <dcterms:modified xsi:type="dcterms:W3CDTF">2021-07-13T14:53:00Z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0x01010080DC72A6D39A5C4D966BA157A814B56A</vt:lpwstr>
  </property>
</Properties>
</file>